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172" w:rsidRPr="006F2604" w:rsidRDefault="003E1172" w:rsidP="006F2604">
      <w:pPr>
        <w:pStyle w:val="Default"/>
      </w:pPr>
    </w:p>
    <w:p w:rsidR="004D4403" w:rsidRPr="006F2604" w:rsidRDefault="00471572" w:rsidP="006F2604">
      <w:pPr>
        <w:pStyle w:val="Default"/>
        <w:jc w:val="center"/>
        <w:rPr>
          <w:b/>
        </w:rPr>
      </w:pPr>
      <w:r>
        <w:rPr>
          <w:b/>
        </w:rPr>
        <w:t xml:space="preserve">Resolution number </w:t>
      </w:r>
      <w:r w:rsidR="00EA131C">
        <w:rPr>
          <w:b/>
        </w:rPr>
        <w:t>7</w:t>
      </w:r>
      <w:r w:rsidR="004D4403" w:rsidRPr="006F2604">
        <w:rPr>
          <w:b/>
        </w:rPr>
        <w:t>/</w:t>
      </w:r>
      <w:r w:rsidR="00EA131C">
        <w:rPr>
          <w:b/>
        </w:rPr>
        <w:t>20.05</w:t>
      </w:r>
      <w:r w:rsidR="003666CF">
        <w:rPr>
          <w:b/>
        </w:rPr>
        <w:t>.2019</w:t>
      </w:r>
    </w:p>
    <w:p w:rsidR="004D4403" w:rsidRPr="006F2604" w:rsidRDefault="004D4403" w:rsidP="006F2604">
      <w:pPr>
        <w:pStyle w:val="Default"/>
        <w:jc w:val="center"/>
        <w:rPr>
          <w:b/>
        </w:rPr>
      </w:pPr>
      <w:proofErr w:type="gramStart"/>
      <w:r w:rsidRPr="006F2604">
        <w:rPr>
          <w:b/>
        </w:rPr>
        <w:t>of</w:t>
      </w:r>
      <w:proofErr w:type="gramEnd"/>
      <w:r w:rsidRPr="006F2604">
        <w:rPr>
          <w:b/>
        </w:rPr>
        <w:t xml:space="preserve"> the </w:t>
      </w:r>
      <w:r w:rsidR="006A6673" w:rsidRPr="006F2604">
        <w:rPr>
          <w:b/>
        </w:rPr>
        <w:t>Extraordinary</w:t>
      </w:r>
      <w:r w:rsidRPr="006F2604">
        <w:rPr>
          <w:b/>
        </w:rPr>
        <w:t xml:space="preserve"> General Meeting of Shareholders of</w:t>
      </w:r>
    </w:p>
    <w:p w:rsidR="004D4403" w:rsidRPr="006F2604" w:rsidRDefault="004D4403" w:rsidP="006F2604">
      <w:pPr>
        <w:pStyle w:val="Default"/>
        <w:jc w:val="center"/>
        <w:rPr>
          <w:b/>
        </w:rPr>
      </w:pPr>
      <w:proofErr w:type="spellStart"/>
      <w:r w:rsidRPr="006F2604">
        <w:rPr>
          <w:b/>
        </w:rPr>
        <w:t>Societatea</w:t>
      </w:r>
      <w:proofErr w:type="spellEnd"/>
      <w:r w:rsidRPr="006F2604">
        <w:rPr>
          <w:b/>
        </w:rPr>
        <w:t xml:space="preserve"> </w:t>
      </w:r>
      <w:proofErr w:type="spellStart"/>
      <w:r w:rsidRPr="006F2604">
        <w:rPr>
          <w:b/>
        </w:rPr>
        <w:t>Nationala</w:t>
      </w:r>
      <w:proofErr w:type="spellEnd"/>
      <w:r w:rsidRPr="006F2604">
        <w:rPr>
          <w:b/>
        </w:rPr>
        <w:t xml:space="preserve"> </w:t>
      </w:r>
      <w:proofErr w:type="spellStart"/>
      <w:r w:rsidRPr="006F2604">
        <w:rPr>
          <w:b/>
        </w:rPr>
        <w:t>Nuclearelectrica</w:t>
      </w:r>
      <w:proofErr w:type="spellEnd"/>
      <w:r w:rsidRPr="006F2604">
        <w:rPr>
          <w:b/>
        </w:rPr>
        <w:t xml:space="preserve"> S.A. </w:t>
      </w:r>
    </w:p>
    <w:p w:rsidR="004D4403" w:rsidRPr="006F2604" w:rsidRDefault="004D4403" w:rsidP="006F2604">
      <w:pPr>
        <w:pStyle w:val="Default"/>
        <w:jc w:val="center"/>
      </w:pPr>
    </w:p>
    <w:p w:rsidR="002F2740" w:rsidRPr="006F2604" w:rsidRDefault="002F2740" w:rsidP="006F2604">
      <w:pPr>
        <w:pStyle w:val="Default"/>
        <w:jc w:val="center"/>
      </w:pPr>
    </w:p>
    <w:p w:rsidR="004D4403" w:rsidRPr="006F2604" w:rsidRDefault="004D4403" w:rsidP="006F2604">
      <w:pPr>
        <w:pStyle w:val="Default"/>
        <w:jc w:val="center"/>
      </w:pPr>
      <w:r w:rsidRPr="006F2604">
        <w:t xml:space="preserve">Headquarters: 65 </w:t>
      </w:r>
      <w:proofErr w:type="spellStart"/>
      <w:r w:rsidRPr="006F2604">
        <w:t>Polona</w:t>
      </w:r>
      <w:proofErr w:type="spellEnd"/>
      <w:r w:rsidRPr="006F2604">
        <w:t xml:space="preserve"> street, District 1, 010494 Bucharest, registered with the Bucharest Trade Register Office under the number J40/7403/1998, sole registration code: RO 10874881</w:t>
      </w:r>
    </w:p>
    <w:p w:rsidR="004D4403" w:rsidRPr="006F2604" w:rsidRDefault="004D4403" w:rsidP="006F2604">
      <w:pPr>
        <w:pStyle w:val="Default"/>
        <w:jc w:val="center"/>
      </w:pPr>
    </w:p>
    <w:p w:rsidR="00F80241" w:rsidRPr="006F2604" w:rsidRDefault="004D4403" w:rsidP="00471572">
      <w:pPr>
        <w:pStyle w:val="Default"/>
        <w:jc w:val="both"/>
      </w:pPr>
      <w:r w:rsidRPr="006F2604">
        <w:t xml:space="preserve">Today, </w:t>
      </w:r>
      <w:r w:rsidR="00EA131C">
        <w:t>20 May</w:t>
      </w:r>
      <w:r w:rsidR="003666CF">
        <w:t xml:space="preserve"> 2019</w:t>
      </w:r>
      <w:r w:rsidRPr="006F2604">
        <w:t xml:space="preserve">, </w:t>
      </w:r>
      <w:r w:rsidR="006B3D32">
        <w:t>10:</w:t>
      </w:r>
      <w:r w:rsidR="00EA131C">
        <w:t>30</w:t>
      </w:r>
      <w:r w:rsidRPr="006F2604">
        <w:t xml:space="preserve"> o’clock, the shareholders of </w:t>
      </w:r>
      <w:proofErr w:type="spellStart"/>
      <w:r w:rsidRPr="006F2604">
        <w:t>Societatea</w:t>
      </w:r>
      <w:proofErr w:type="spellEnd"/>
      <w:r w:rsidRPr="006F2604">
        <w:t xml:space="preserve"> </w:t>
      </w:r>
      <w:proofErr w:type="spellStart"/>
      <w:r w:rsidRPr="006F2604">
        <w:t>Nationala</w:t>
      </w:r>
      <w:proofErr w:type="spellEnd"/>
      <w:r w:rsidRPr="006F2604">
        <w:t xml:space="preserve"> </w:t>
      </w:r>
      <w:proofErr w:type="spellStart"/>
      <w:r w:rsidRPr="006F2604">
        <w:t>Nuclearelectrica</w:t>
      </w:r>
      <w:proofErr w:type="spellEnd"/>
      <w:r w:rsidRPr="006F2604">
        <w:t xml:space="preserve"> S.A. (hereinafter called “The company” or “SNN”) met within the </w:t>
      </w:r>
      <w:r w:rsidR="000A1E6E" w:rsidRPr="006F2604">
        <w:t xml:space="preserve">Extraordinary </w:t>
      </w:r>
      <w:r w:rsidRPr="006F2604">
        <w:t>General Meeting of Sha</w:t>
      </w:r>
      <w:r w:rsidR="00331667" w:rsidRPr="006F2604">
        <w:t>reholders (</w:t>
      </w:r>
      <w:r w:rsidR="000A1E6E" w:rsidRPr="006F2604">
        <w:t>E</w:t>
      </w:r>
      <w:r w:rsidR="00331667" w:rsidRPr="006F2604">
        <w:t xml:space="preserve">GMS) of SNN, held </w:t>
      </w:r>
      <w:r w:rsidR="00A56C99">
        <w:rPr>
          <w:rFonts w:eastAsia="Calibri"/>
        </w:rPr>
        <w:t>at</w:t>
      </w:r>
      <w:r w:rsidR="00A56C99" w:rsidRPr="00A56C99">
        <w:rPr>
          <w:rFonts w:eastAsia="Times New Roman"/>
          <w:b/>
          <w:color w:val="auto"/>
          <w:lang w:val="en-GB"/>
        </w:rPr>
        <w:t xml:space="preserve"> </w:t>
      </w:r>
      <w:r w:rsidR="00471572" w:rsidRPr="00471572">
        <w:rPr>
          <w:lang w:val="en-GB"/>
        </w:rPr>
        <w:t xml:space="preserve">Hotel Capital Plaza, Ion </w:t>
      </w:r>
      <w:proofErr w:type="spellStart"/>
      <w:r w:rsidR="00471572" w:rsidRPr="00471572">
        <w:rPr>
          <w:lang w:val="en-GB"/>
        </w:rPr>
        <w:t>Mincu</w:t>
      </w:r>
      <w:proofErr w:type="spellEnd"/>
      <w:r w:rsidR="00471572" w:rsidRPr="00471572">
        <w:rPr>
          <w:lang w:val="en-GB"/>
        </w:rPr>
        <w:t xml:space="preserve"> </w:t>
      </w:r>
      <w:r w:rsidR="00B727A9">
        <w:rPr>
          <w:lang w:val="en-GB"/>
        </w:rPr>
        <w:t xml:space="preserve">I </w:t>
      </w:r>
      <w:r w:rsidR="00471572" w:rsidRPr="00471572">
        <w:rPr>
          <w:lang w:val="en-GB"/>
        </w:rPr>
        <w:t xml:space="preserve">Room, Bd. 54 </w:t>
      </w:r>
      <w:proofErr w:type="spellStart"/>
      <w:r w:rsidR="00471572" w:rsidRPr="00471572">
        <w:rPr>
          <w:lang w:val="en-GB"/>
        </w:rPr>
        <w:t>Iancu</w:t>
      </w:r>
      <w:proofErr w:type="spellEnd"/>
      <w:r w:rsidR="00471572" w:rsidRPr="00471572">
        <w:rPr>
          <w:lang w:val="en-GB"/>
        </w:rPr>
        <w:t xml:space="preserve"> de Hunedoara, District 1, Bucharest</w:t>
      </w:r>
      <w:r w:rsidR="00471572">
        <w:rPr>
          <w:b/>
          <w:lang w:val="en-GB"/>
        </w:rPr>
        <w:t xml:space="preserve"> </w:t>
      </w:r>
      <w:r w:rsidR="00471572" w:rsidRPr="006230B3">
        <w:rPr>
          <w:b/>
          <w:lang w:val="en-GB"/>
        </w:rPr>
        <w:t xml:space="preserve"> </w:t>
      </w:r>
      <w:r w:rsidR="00F66200" w:rsidRPr="006F2604">
        <w:rPr>
          <w:rFonts w:eastAsia="Calibri"/>
          <w:color w:val="auto"/>
        </w:rPr>
        <w:t xml:space="preserve"> </w:t>
      </w:r>
      <w:r w:rsidRPr="006F2604">
        <w:t xml:space="preserve">the </w:t>
      </w:r>
      <w:r w:rsidR="00713AEA" w:rsidRPr="006F2604">
        <w:t>E</w:t>
      </w:r>
      <w:r w:rsidRPr="006F2604">
        <w:t xml:space="preserve">GMS was opened by the President of the meeting, Mr. </w:t>
      </w:r>
      <w:r w:rsidR="006B3290" w:rsidRPr="006F2604">
        <w:t xml:space="preserve">Iulian Robert </w:t>
      </w:r>
      <w:proofErr w:type="gramStart"/>
      <w:r w:rsidR="006B3290" w:rsidRPr="006F2604">
        <w:t xml:space="preserve">TUDORACHE </w:t>
      </w:r>
      <w:r w:rsidRPr="006F2604">
        <w:t xml:space="preserve"> in</w:t>
      </w:r>
      <w:proofErr w:type="gramEnd"/>
      <w:r w:rsidRPr="006F2604">
        <w:t xml:space="preserve"> his capacity of President of the Board of Directors. </w:t>
      </w:r>
    </w:p>
    <w:p w:rsidR="00F80241" w:rsidRPr="006F2604" w:rsidRDefault="00F80241" w:rsidP="006F2604">
      <w:pPr>
        <w:pStyle w:val="Default"/>
        <w:jc w:val="both"/>
      </w:pPr>
    </w:p>
    <w:p w:rsidR="00F80241" w:rsidRPr="006F2604" w:rsidRDefault="004D4403" w:rsidP="006F2604">
      <w:pPr>
        <w:pStyle w:val="Default"/>
        <w:jc w:val="both"/>
      </w:pPr>
      <w:r w:rsidRPr="006F2604">
        <w:t xml:space="preserve">Taking into consideration: </w:t>
      </w:r>
    </w:p>
    <w:p w:rsidR="00F80241" w:rsidRPr="006F2604" w:rsidRDefault="00F80241" w:rsidP="006F2604">
      <w:pPr>
        <w:pStyle w:val="Default"/>
        <w:ind w:firstLine="720"/>
        <w:jc w:val="both"/>
      </w:pPr>
    </w:p>
    <w:p w:rsidR="00F64E1A" w:rsidRPr="006F2604" w:rsidRDefault="00A45914" w:rsidP="006F2604">
      <w:pPr>
        <w:pStyle w:val="Default"/>
        <w:ind w:left="900" w:hanging="180"/>
        <w:jc w:val="both"/>
      </w:pPr>
      <w:r w:rsidRPr="006F2604">
        <w:sym w:font="Symbol" w:char="F0B7"/>
      </w:r>
      <w:r w:rsidRPr="006F2604">
        <w:t xml:space="preserve"> The convening notice of the EGMS, published in the Of</w:t>
      </w:r>
      <w:r w:rsidR="00777BD4">
        <w:t xml:space="preserve">ficial Gazette of Romania, Part IV </w:t>
      </w:r>
      <w:r w:rsidRPr="006F2604">
        <w:t xml:space="preserve">, </w:t>
      </w:r>
      <w:r w:rsidR="001D3AA3" w:rsidRPr="006F2604">
        <w:t xml:space="preserve">number </w:t>
      </w:r>
      <w:r w:rsidR="000C76C6" w:rsidRPr="006F2604">
        <w:t>……..</w:t>
      </w:r>
      <w:r w:rsidR="001D3AA3" w:rsidRPr="006F2604">
        <w:t xml:space="preserve"> </w:t>
      </w:r>
      <w:proofErr w:type="gramStart"/>
      <w:r w:rsidR="001D3AA3" w:rsidRPr="006F2604">
        <w:t>of</w:t>
      </w:r>
      <w:proofErr w:type="gramEnd"/>
      <w:r w:rsidRPr="006F2604">
        <w:t xml:space="preserve"> </w:t>
      </w:r>
      <w:r w:rsidR="00105011">
        <w:t>………..</w:t>
      </w:r>
      <w:r w:rsidR="00A21B35" w:rsidRPr="006F2604">
        <w:t xml:space="preserve">, in the </w:t>
      </w:r>
      <w:r w:rsidR="00105011">
        <w:t>………….</w:t>
      </w:r>
      <w:r w:rsidRPr="006F2604">
        <w:t xml:space="preserve"> newspaper, number </w:t>
      </w:r>
      <w:r w:rsidR="000C76C6" w:rsidRPr="006F2604">
        <w:rPr>
          <w:lang w:val="nl-NL"/>
        </w:rPr>
        <w:t>.......</w:t>
      </w:r>
      <w:r w:rsidR="00850EDD" w:rsidRPr="006F2604">
        <w:rPr>
          <w:lang w:val="nl-NL"/>
        </w:rPr>
        <w:t xml:space="preserve"> </w:t>
      </w:r>
      <w:r w:rsidRPr="006F2604">
        <w:t xml:space="preserve"> of </w:t>
      </w:r>
      <w:r w:rsidR="00105011">
        <w:t>…………..</w:t>
      </w:r>
      <w:r w:rsidRPr="006F2604">
        <w:t xml:space="preserve"> </w:t>
      </w:r>
      <w:proofErr w:type="gramStart"/>
      <w:r w:rsidRPr="006F2604">
        <w:t>and</w:t>
      </w:r>
      <w:proofErr w:type="gramEnd"/>
      <w:r w:rsidRPr="006F2604">
        <w:t xml:space="preserve"> on the website of the Company;</w:t>
      </w:r>
    </w:p>
    <w:p w:rsidR="00A45914" w:rsidRPr="006F2604" w:rsidRDefault="00A45914" w:rsidP="006F2604">
      <w:pPr>
        <w:pStyle w:val="Default"/>
        <w:ind w:firstLine="720"/>
        <w:jc w:val="both"/>
      </w:pPr>
      <w:r w:rsidRPr="006F2604">
        <w:sym w:font="Symbol" w:char="F0B7"/>
      </w:r>
      <w:r w:rsidRPr="006F2604">
        <w:t xml:space="preserve"> The provisions of the effectual Articles of Incorporation of the Company; </w:t>
      </w:r>
    </w:p>
    <w:p w:rsidR="00A45914" w:rsidRPr="006F2604" w:rsidRDefault="00A45914" w:rsidP="006F2604">
      <w:pPr>
        <w:pStyle w:val="Default"/>
        <w:ind w:firstLine="720"/>
        <w:jc w:val="both"/>
      </w:pPr>
      <w:r w:rsidRPr="006F2604">
        <w:sym w:font="Symbol" w:char="F0B7"/>
      </w:r>
      <w:r w:rsidRPr="006F2604">
        <w:t xml:space="preserve"> Legal applicable provisions; </w:t>
      </w:r>
    </w:p>
    <w:p w:rsidR="00A45914" w:rsidRPr="006F2604" w:rsidRDefault="00A45914" w:rsidP="006F2604">
      <w:pPr>
        <w:pStyle w:val="Default"/>
        <w:ind w:firstLine="720"/>
        <w:jc w:val="both"/>
      </w:pPr>
    </w:p>
    <w:p w:rsidR="00F80241" w:rsidRPr="006F2604" w:rsidRDefault="004D4403" w:rsidP="006F2604">
      <w:pPr>
        <w:pStyle w:val="Default"/>
        <w:jc w:val="both"/>
      </w:pPr>
      <w:r w:rsidRPr="006F2604">
        <w:t xml:space="preserve">The President of the meeting records at the beginning of the meeting, that the </w:t>
      </w:r>
      <w:r w:rsidR="00713AEA" w:rsidRPr="006F2604">
        <w:t>E</w:t>
      </w:r>
      <w:r w:rsidRPr="006F2604">
        <w:t xml:space="preserve">GMS is legal and statutory,.....shareholders are present or represented, owning a total number of...........shares, </w:t>
      </w:r>
      <w:proofErr w:type="spellStart"/>
      <w:r w:rsidRPr="006F2604">
        <w:t>represeting</w:t>
      </w:r>
      <w:proofErr w:type="spellEnd"/>
      <w:r w:rsidRPr="006F2604">
        <w:t xml:space="preserve"> .......... of the subscribed and paid up share capital, representing .............. </w:t>
      </w:r>
      <w:proofErr w:type="gramStart"/>
      <w:r w:rsidRPr="006F2604">
        <w:t>of</w:t>
      </w:r>
      <w:proofErr w:type="gramEnd"/>
      <w:r w:rsidRPr="006F2604">
        <w:t xml:space="preserve"> the total voting rights. The requirement regarding quorum is met in accordance with the provisions of </w:t>
      </w:r>
      <w:r w:rsidR="00A56C99">
        <w:t xml:space="preserve">article 16 </w:t>
      </w:r>
      <w:r w:rsidRPr="006F2604">
        <w:t>of the Articles of Incorporation and of</w:t>
      </w:r>
      <w:r w:rsidR="00D70286" w:rsidRPr="006F2604">
        <w:t xml:space="preserve"> article 115, paragraph 1 </w:t>
      </w:r>
      <w:r w:rsidRPr="006F2604">
        <w:t xml:space="preserve"> of the Company Law 31/1990 (“Law number 31/1990”). The President of the meeting acknowledges that the </w:t>
      </w:r>
      <w:r w:rsidR="00387F81" w:rsidRPr="006F2604">
        <w:t>E</w:t>
      </w:r>
      <w:r w:rsidRPr="006F2604">
        <w:t>GMS is statutory and legally convened and that it can adopt viable resolutions regarding the items on the agenda.</w:t>
      </w:r>
    </w:p>
    <w:p w:rsidR="00F80241" w:rsidRPr="006F2604" w:rsidRDefault="004D4403" w:rsidP="006F2604">
      <w:pPr>
        <w:pStyle w:val="Default"/>
        <w:jc w:val="both"/>
      </w:pPr>
      <w:r w:rsidRPr="006F2604">
        <w:t xml:space="preserve"> Following the debates, the shareholders of the Company hereby decide:</w:t>
      </w:r>
    </w:p>
    <w:p w:rsidR="00F80241" w:rsidRDefault="00F80241" w:rsidP="006F2604">
      <w:pPr>
        <w:pStyle w:val="Default"/>
        <w:jc w:val="both"/>
      </w:pPr>
    </w:p>
    <w:p w:rsidR="002B2476" w:rsidRDefault="002B2476" w:rsidP="006F2604">
      <w:pPr>
        <w:pStyle w:val="Default"/>
        <w:jc w:val="both"/>
      </w:pPr>
    </w:p>
    <w:p w:rsidR="002B2476" w:rsidRDefault="002B2476" w:rsidP="006F2604">
      <w:pPr>
        <w:pStyle w:val="Default"/>
        <w:jc w:val="both"/>
      </w:pPr>
    </w:p>
    <w:p w:rsidR="002B2476" w:rsidRDefault="002B2476" w:rsidP="006F2604">
      <w:pPr>
        <w:pStyle w:val="Default"/>
        <w:jc w:val="both"/>
      </w:pPr>
    </w:p>
    <w:p w:rsidR="002B2476" w:rsidRDefault="002B2476" w:rsidP="006F2604">
      <w:pPr>
        <w:pStyle w:val="Default"/>
        <w:jc w:val="both"/>
      </w:pPr>
    </w:p>
    <w:p w:rsidR="002B2476" w:rsidRDefault="002B2476" w:rsidP="006F2604">
      <w:pPr>
        <w:pStyle w:val="Default"/>
        <w:jc w:val="both"/>
      </w:pPr>
    </w:p>
    <w:p w:rsidR="002B2476" w:rsidRDefault="002B2476" w:rsidP="006F2604">
      <w:pPr>
        <w:pStyle w:val="Default"/>
        <w:jc w:val="both"/>
      </w:pPr>
    </w:p>
    <w:p w:rsidR="002B2476" w:rsidRPr="006F2604" w:rsidRDefault="002B2476" w:rsidP="006F2604">
      <w:pPr>
        <w:pStyle w:val="Default"/>
        <w:jc w:val="both"/>
      </w:pPr>
    </w:p>
    <w:p w:rsidR="00947021" w:rsidRPr="006F2604" w:rsidRDefault="0034629E" w:rsidP="004E0508">
      <w:pPr>
        <w:pStyle w:val="Default"/>
        <w:numPr>
          <w:ilvl w:val="0"/>
          <w:numId w:val="1"/>
        </w:numPr>
        <w:jc w:val="both"/>
        <w:rPr>
          <w:b/>
        </w:rPr>
      </w:pPr>
      <w:r w:rsidRPr="006F2604">
        <w:rPr>
          <w:b/>
        </w:rPr>
        <w:lastRenderedPageBreak/>
        <w:t>E</w:t>
      </w:r>
      <w:r w:rsidR="004D4403" w:rsidRPr="006F2604">
        <w:rPr>
          <w:b/>
        </w:rPr>
        <w:t xml:space="preserve">lection of the Secretary of the </w:t>
      </w:r>
      <w:r w:rsidR="00713AEA" w:rsidRPr="006F2604">
        <w:rPr>
          <w:b/>
        </w:rPr>
        <w:t>E</w:t>
      </w:r>
      <w:r w:rsidR="004D4403" w:rsidRPr="006F2604">
        <w:rPr>
          <w:b/>
        </w:rPr>
        <w:t>GMS</w:t>
      </w:r>
    </w:p>
    <w:p w:rsidR="00947021" w:rsidRPr="006F2604" w:rsidRDefault="00947021" w:rsidP="006F2604">
      <w:pPr>
        <w:pStyle w:val="Default"/>
        <w:ind w:left="60"/>
        <w:jc w:val="both"/>
      </w:pPr>
    </w:p>
    <w:p w:rsidR="00947021" w:rsidRPr="006F2604" w:rsidRDefault="00947021" w:rsidP="006F2604">
      <w:pPr>
        <w:pStyle w:val="Default"/>
        <w:ind w:left="60"/>
        <w:jc w:val="both"/>
        <w:rPr>
          <w:b/>
        </w:rPr>
      </w:pPr>
      <w:r w:rsidRPr="006F2604">
        <w:t>As per the provisions of art. 129 of the Law no.31/1990, the shareholders of SNN elect as secretary of the EGMS ……. and the Company appoints ……………. and ………. as technical secretary of the EGMS</w:t>
      </w:r>
    </w:p>
    <w:p w:rsidR="00674260" w:rsidRPr="006F2604" w:rsidRDefault="004D4403" w:rsidP="006F2604">
      <w:pPr>
        <w:pStyle w:val="Default"/>
        <w:ind w:left="420"/>
        <w:jc w:val="both"/>
        <w:rPr>
          <w:b/>
        </w:rPr>
      </w:pPr>
      <w:r w:rsidRPr="006F2604">
        <w:rPr>
          <w:b/>
        </w:rPr>
        <w:t xml:space="preserve"> </w:t>
      </w:r>
    </w:p>
    <w:p w:rsidR="0068330D" w:rsidRPr="006F2604" w:rsidRDefault="0068330D" w:rsidP="006F2604">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sidR="00A56C99">
        <w:rPr>
          <w:rFonts w:ascii="Times New Roman" w:hAnsi="Times New Roman" w:cs="Times New Roman"/>
          <w:sz w:val="24"/>
          <w:szCs w:val="24"/>
        </w:rPr>
        <w:t>Art. 16</w:t>
      </w:r>
      <w:r w:rsidR="00400290">
        <w:rPr>
          <w:rFonts w:ascii="Times New Roman" w:hAnsi="Times New Roman" w:cs="Times New Roman"/>
          <w:sz w:val="24"/>
          <w:szCs w:val="24"/>
        </w:rPr>
        <w:t xml:space="preserve"> </w:t>
      </w:r>
      <w:r w:rsidRPr="006F2604">
        <w:rPr>
          <w:rFonts w:ascii="Times New Roman" w:hAnsi="Times New Roman" w:cs="Times New Roman"/>
          <w:sz w:val="24"/>
          <w:szCs w:val="24"/>
        </w:rPr>
        <w:t>of the Constitutive Act corroborated with the provisions under Art. 115 paragraph 2 of the Law No. 31/1990.</w:t>
      </w:r>
    </w:p>
    <w:p w:rsidR="0068330D"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The votes were recorded as follows:</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674260" w:rsidRPr="006F2604" w:rsidRDefault="00674260" w:rsidP="004E0508">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Pr="00542482" w:rsidRDefault="0068330D" w:rsidP="0054248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296F0D" w:rsidRDefault="00471572" w:rsidP="00F27550">
      <w:pPr>
        <w:numPr>
          <w:ilvl w:val="0"/>
          <w:numId w:val="1"/>
        </w:numPr>
        <w:spacing w:after="0" w:line="240" w:lineRule="auto"/>
        <w:jc w:val="both"/>
        <w:rPr>
          <w:rFonts w:ascii="Times New Roman" w:eastAsia="Times New Roman" w:hAnsi="Times New Roman" w:cs="Times New Roman"/>
          <w:sz w:val="24"/>
          <w:szCs w:val="24"/>
        </w:rPr>
      </w:pPr>
      <w:r w:rsidRPr="0030305D">
        <w:rPr>
          <w:rFonts w:ascii="Times New Roman" w:eastAsia="Times New Roman" w:hAnsi="Times New Roman" w:cs="Times New Roman"/>
          <w:sz w:val="24"/>
          <w:szCs w:val="24"/>
          <w:lang w:val="en-GB"/>
        </w:rPr>
        <w:t xml:space="preserve"> </w:t>
      </w:r>
      <w:r w:rsidR="00296F0D" w:rsidRPr="0030305D">
        <w:rPr>
          <w:rFonts w:ascii="Times New Roman" w:eastAsia="Times New Roman" w:hAnsi="Times New Roman" w:cs="Times New Roman"/>
          <w:b/>
          <w:sz w:val="24"/>
          <w:szCs w:val="24"/>
          <w:lang w:bidi="en-US"/>
        </w:rPr>
        <w:t xml:space="preserve">Approval </w:t>
      </w:r>
      <w:r w:rsidR="0030305D" w:rsidRPr="0030305D">
        <w:rPr>
          <w:rFonts w:ascii="Times New Roman" w:eastAsia="Times New Roman" w:hAnsi="Times New Roman" w:cs="Times New Roman"/>
          <w:sz w:val="24"/>
          <w:szCs w:val="24"/>
          <w:lang w:bidi="en-US"/>
        </w:rPr>
        <w:t>of the proposals to amend the Company's Articles of Incorporation s</w:t>
      </w:r>
      <w:r w:rsidR="006B3D32">
        <w:rPr>
          <w:rFonts w:ascii="Times New Roman" w:eastAsia="Times New Roman" w:hAnsi="Times New Roman" w:cs="Times New Roman"/>
          <w:sz w:val="24"/>
          <w:szCs w:val="24"/>
          <w:lang w:bidi="en-US"/>
        </w:rPr>
        <w:t>ubmitted under the Annex to</w:t>
      </w:r>
      <w:r w:rsidR="0030305D" w:rsidRPr="0030305D">
        <w:rPr>
          <w:rFonts w:ascii="Times New Roman" w:eastAsia="Times New Roman" w:hAnsi="Times New Roman" w:cs="Times New Roman"/>
          <w:sz w:val="24"/>
          <w:szCs w:val="24"/>
          <w:lang w:bidi="en-US"/>
        </w:rPr>
        <w:t xml:space="preserve"> Convening Notice. </w:t>
      </w:r>
    </w:p>
    <w:p w:rsidR="0030305D" w:rsidRPr="0030305D" w:rsidRDefault="0030305D" w:rsidP="0030305D">
      <w:pPr>
        <w:spacing w:after="0" w:line="240" w:lineRule="auto"/>
        <w:ind w:left="360"/>
        <w:jc w:val="both"/>
        <w:rPr>
          <w:rFonts w:ascii="Times New Roman" w:eastAsia="Times New Roman" w:hAnsi="Times New Roman" w:cs="Times New Roman"/>
          <w:sz w:val="24"/>
          <w:szCs w:val="24"/>
        </w:rPr>
      </w:pPr>
    </w:p>
    <w:p w:rsidR="00296F0D" w:rsidRPr="006F2604" w:rsidRDefault="00296F0D" w:rsidP="00296F0D">
      <w:pPr>
        <w:pStyle w:val="Default"/>
        <w:ind w:left="420"/>
        <w:jc w:val="both"/>
        <w:rPr>
          <w:b/>
        </w:rPr>
      </w:pPr>
    </w:p>
    <w:p w:rsidR="00296F0D" w:rsidRPr="006F2604" w:rsidRDefault="00296F0D" w:rsidP="00296F0D">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16 </w:t>
      </w:r>
      <w:r w:rsidRPr="006F2604">
        <w:rPr>
          <w:rFonts w:ascii="Times New Roman" w:hAnsi="Times New Roman" w:cs="Times New Roman"/>
          <w:sz w:val="24"/>
          <w:szCs w:val="24"/>
        </w:rPr>
        <w:t>of the Constitutive Act corroborated with the provisions under Art. 115 paragraph 2 of the Law No. 31/1990.</w:t>
      </w:r>
    </w:p>
    <w:p w:rsidR="00296F0D" w:rsidRPr="006F2604" w:rsidRDefault="00296F0D" w:rsidP="00296F0D">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The votes were recorded as follows:</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p>
    <w:p w:rsidR="00E14EBC" w:rsidRPr="00E14EBC" w:rsidRDefault="00296F0D" w:rsidP="002B2476">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542482" w:rsidRPr="00542482" w:rsidRDefault="00542482" w:rsidP="00542482">
      <w:pPr>
        <w:pStyle w:val="ListParagraph"/>
        <w:numPr>
          <w:ilvl w:val="0"/>
          <w:numId w:val="1"/>
        </w:numPr>
        <w:rPr>
          <w:rFonts w:ascii="Times New Roman" w:eastAsia="Times New Roman" w:hAnsi="Times New Roman" w:cs="Times New Roman"/>
          <w:sz w:val="24"/>
          <w:szCs w:val="24"/>
          <w:lang w:val="ro-RO"/>
        </w:rPr>
      </w:pPr>
      <w:r w:rsidRPr="00542482">
        <w:rPr>
          <w:rFonts w:ascii="Times New Roman" w:eastAsia="Times New Roman" w:hAnsi="Times New Roman" w:cs="Times New Roman"/>
          <w:b/>
          <w:sz w:val="24"/>
          <w:szCs w:val="24"/>
          <w:lang w:val="ro-RO"/>
        </w:rPr>
        <w:t>Approval</w:t>
      </w:r>
      <w:r w:rsidRPr="00542482">
        <w:rPr>
          <w:rFonts w:ascii="Times New Roman" w:eastAsia="Times New Roman" w:hAnsi="Times New Roman" w:cs="Times New Roman"/>
          <w:sz w:val="24"/>
          <w:szCs w:val="24"/>
          <w:lang w:val="ro-RO"/>
        </w:rPr>
        <w:t xml:space="preserve"> of the procurement of consultancy services (in an integrated structure, namely technical, environmental, financial and legal consultancy) for the “due diligence” analysis with a view to potentially overtake the processing line from CNU Feldioara subsidiary. </w:t>
      </w:r>
    </w:p>
    <w:p w:rsidR="00542482" w:rsidRPr="006F2604" w:rsidRDefault="00542482" w:rsidP="00542482">
      <w:pPr>
        <w:pStyle w:val="Default"/>
        <w:ind w:left="420"/>
        <w:jc w:val="both"/>
        <w:rPr>
          <w:b/>
        </w:rPr>
      </w:pPr>
    </w:p>
    <w:p w:rsidR="00542482" w:rsidRPr="006F2604" w:rsidRDefault="00542482" w:rsidP="00542482">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16 </w:t>
      </w:r>
      <w:r w:rsidRPr="006F2604">
        <w:rPr>
          <w:rFonts w:ascii="Times New Roman" w:hAnsi="Times New Roman" w:cs="Times New Roman"/>
          <w:sz w:val="24"/>
          <w:szCs w:val="24"/>
        </w:rPr>
        <w:t>of the Constitutive Act corroborated with the provisions under Art. 115 paragraph 2 of the Law No. 31/1990.</w:t>
      </w:r>
    </w:p>
    <w:p w:rsidR="00542482" w:rsidRPr="006F2604" w:rsidRDefault="00542482" w:rsidP="0054248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The votes were recorded as follows:</w:t>
      </w:r>
    </w:p>
    <w:p w:rsidR="00542482" w:rsidRPr="006F2604" w:rsidRDefault="00542482" w:rsidP="0054248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542482" w:rsidRPr="006F2604" w:rsidRDefault="00542482" w:rsidP="0054248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542482" w:rsidRPr="006F2604" w:rsidRDefault="00542482" w:rsidP="0054248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542482" w:rsidRPr="006F2604" w:rsidRDefault="00542482" w:rsidP="0054248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542482" w:rsidRPr="006F2604" w:rsidRDefault="00542482" w:rsidP="00542482">
      <w:pPr>
        <w:numPr>
          <w:ilvl w:val="0"/>
          <w:numId w:val="2"/>
        </w:numPr>
        <w:tabs>
          <w:tab w:val="left" w:pos="270"/>
        </w:tabs>
        <w:spacing w:after="0" w:line="240" w:lineRule="auto"/>
        <w:ind w:hanging="720"/>
        <w:jc w:val="both"/>
        <w:rPr>
          <w:rFonts w:ascii="Times New Roman" w:hAnsi="Times New Roman" w:cs="Times New Roman"/>
          <w:sz w:val="24"/>
          <w:szCs w:val="24"/>
        </w:rPr>
      </w:pPr>
    </w:p>
    <w:p w:rsidR="00542482" w:rsidRPr="00542482" w:rsidRDefault="00542482" w:rsidP="0054248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296F0D" w:rsidRPr="00296F0D" w:rsidRDefault="00296F0D" w:rsidP="00296F0D">
      <w:pPr>
        <w:numPr>
          <w:ilvl w:val="0"/>
          <w:numId w:val="1"/>
        </w:numPr>
        <w:spacing w:after="0" w:line="240" w:lineRule="auto"/>
        <w:jc w:val="both"/>
        <w:rPr>
          <w:rFonts w:ascii="Times New Roman" w:eastAsia="Times New Roman" w:hAnsi="Times New Roman" w:cs="Times New Roman"/>
          <w:sz w:val="24"/>
          <w:szCs w:val="24"/>
          <w:lang w:val="ro-RO"/>
        </w:rPr>
      </w:pPr>
      <w:r w:rsidRPr="00296F0D">
        <w:rPr>
          <w:rFonts w:ascii="Times New Roman" w:eastAsia="Times New Roman" w:hAnsi="Times New Roman" w:cs="Times New Roman"/>
          <w:b/>
          <w:sz w:val="24"/>
          <w:szCs w:val="24"/>
          <w:lang w:bidi="en-US"/>
        </w:rPr>
        <w:t>Empowering</w:t>
      </w:r>
      <w:r w:rsidRPr="00296F0D">
        <w:rPr>
          <w:rFonts w:ascii="Times New Roman" w:eastAsia="Times New Roman" w:hAnsi="Times New Roman" w:cs="Times New Roman"/>
          <w:sz w:val="24"/>
          <w:szCs w:val="24"/>
          <w:lang w:bidi="en-US"/>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471572" w:rsidRPr="006F2604" w:rsidRDefault="00471572" w:rsidP="00112037">
      <w:pPr>
        <w:spacing w:after="0" w:line="240" w:lineRule="auto"/>
        <w:jc w:val="both"/>
        <w:rPr>
          <w:rFonts w:ascii="Times New Roman" w:hAnsi="Times New Roman" w:cs="Times New Roman"/>
          <w:sz w:val="24"/>
          <w:szCs w:val="24"/>
        </w:rPr>
      </w:pPr>
    </w:p>
    <w:p w:rsidR="00296F0D" w:rsidRPr="006F2604" w:rsidRDefault="00296F0D" w:rsidP="00296F0D">
      <w:pPr>
        <w:pStyle w:val="Default"/>
        <w:ind w:left="420"/>
        <w:jc w:val="both"/>
        <w:rPr>
          <w:b/>
        </w:rPr>
      </w:pPr>
    </w:p>
    <w:p w:rsidR="00296F0D" w:rsidRPr="006F2604" w:rsidRDefault="00296F0D" w:rsidP="00296F0D">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16 </w:t>
      </w:r>
      <w:r w:rsidRPr="006F2604">
        <w:rPr>
          <w:rFonts w:ascii="Times New Roman" w:hAnsi="Times New Roman" w:cs="Times New Roman"/>
          <w:sz w:val="24"/>
          <w:szCs w:val="24"/>
        </w:rPr>
        <w:t>of the Constitutive Act corroborated with the provisions under Art. 115 paragraph 2 of the Law No. 31/1990.</w:t>
      </w:r>
    </w:p>
    <w:p w:rsidR="00296F0D" w:rsidRPr="006F2604" w:rsidRDefault="00296F0D" w:rsidP="00296F0D">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The votes were recorded as follows:</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296F0D" w:rsidRPr="006F2604" w:rsidRDefault="00296F0D" w:rsidP="00296F0D">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Default="00296F0D" w:rsidP="00EA131C">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78622E" w:rsidRPr="00ED7BC6" w:rsidRDefault="00ED7BC6" w:rsidP="00ED7B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3A44" w:rsidRPr="00112037">
        <w:rPr>
          <w:rFonts w:ascii="Times New Roman" w:hAnsi="Times New Roman" w:cs="Times New Roman"/>
          <w:b/>
          <w:sz w:val="24"/>
          <w:szCs w:val="24"/>
        </w:rPr>
        <w:t>PRESIDENT OF</w:t>
      </w:r>
      <w:r w:rsidR="0078622E">
        <w:rPr>
          <w:rFonts w:ascii="Times New Roman" w:hAnsi="Times New Roman" w:cs="Times New Roman"/>
          <w:b/>
          <w:sz w:val="24"/>
          <w:szCs w:val="24"/>
        </w:rPr>
        <w:t xml:space="preserve"> THE BOARD OF DIRECTOR</w:t>
      </w:r>
      <w:r w:rsidR="00AC4240">
        <w:rPr>
          <w:rFonts w:ascii="Times New Roman" w:hAnsi="Times New Roman" w:cs="Times New Roman"/>
          <w:b/>
          <w:sz w:val="24"/>
          <w:szCs w:val="24"/>
        </w:rPr>
        <w:t>S</w:t>
      </w:r>
    </w:p>
    <w:p w:rsidR="00B56678" w:rsidRPr="00112037" w:rsidRDefault="003518F6" w:rsidP="0078622E">
      <w:pPr>
        <w:spacing w:line="240" w:lineRule="auto"/>
        <w:rPr>
          <w:rFonts w:ascii="Times New Roman" w:hAnsi="Times New Roman" w:cs="Times New Roman"/>
          <w:b/>
          <w:sz w:val="24"/>
          <w:szCs w:val="24"/>
        </w:rPr>
      </w:pPr>
      <w:r w:rsidRPr="00112037">
        <w:rPr>
          <w:rFonts w:ascii="Times New Roman" w:hAnsi="Times New Roman" w:cs="Times New Roman"/>
          <w:b/>
          <w:sz w:val="24"/>
          <w:szCs w:val="24"/>
        </w:rPr>
        <w:t>Iulian Robert TUDORACHE</w:t>
      </w:r>
    </w:p>
    <w:p w:rsidR="006117AB" w:rsidRPr="006F2604" w:rsidRDefault="00ED7BC6" w:rsidP="006F2604">
      <w:pPr>
        <w:spacing w:line="240" w:lineRule="auto"/>
        <w:rPr>
          <w:rFonts w:ascii="Times New Roman" w:hAnsi="Times New Roman" w:cs="Times New Roman"/>
          <w:sz w:val="24"/>
          <w:szCs w:val="24"/>
        </w:rPr>
      </w:pPr>
      <w:r>
        <w:rPr>
          <w:rFonts w:ascii="Times New Roman" w:hAnsi="Times New Roman" w:cs="Times New Roman"/>
          <w:sz w:val="24"/>
          <w:szCs w:val="24"/>
        </w:rPr>
        <w:t xml:space="preserve">SECRETARY OF THE MEETING </w:t>
      </w:r>
      <w:r w:rsidRPr="006F2604">
        <w:rPr>
          <w:rFonts w:ascii="Times New Roman" w:hAnsi="Times New Roman" w:cs="Times New Roman"/>
          <w:sz w:val="24"/>
          <w:szCs w:val="24"/>
        </w:rPr>
        <w:t xml:space="preserve">      </w:t>
      </w:r>
    </w:p>
    <w:p w:rsidR="009B21FD" w:rsidRDefault="009B21FD" w:rsidP="009B21FD">
      <w:pPr>
        <w:jc w:val="center"/>
        <w:rPr>
          <w:b/>
          <w:lang w:val="it-IT"/>
        </w:rPr>
      </w:pPr>
    </w:p>
    <w:p w:rsidR="009B21FD" w:rsidRDefault="009B21FD" w:rsidP="009B21FD">
      <w:pPr>
        <w:jc w:val="center"/>
        <w:rPr>
          <w:b/>
          <w:lang w:val="it-IT"/>
        </w:rPr>
      </w:pPr>
      <w:bookmarkStart w:id="0" w:name="_GoBack"/>
      <w:bookmarkEnd w:id="0"/>
    </w:p>
    <w:p w:rsidR="009B21FD" w:rsidRDefault="009B21FD" w:rsidP="009B21FD">
      <w:pPr>
        <w:jc w:val="center"/>
        <w:rPr>
          <w:b/>
          <w:lang w:val="it-IT"/>
        </w:rPr>
      </w:pPr>
    </w:p>
    <w:p w:rsidR="009B21FD" w:rsidRDefault="009B21FD" w:rsidP="009B21FD">
      <w:pPr>
        <w:jc w:val="center"/>
        <w:rPr>
          <w:b/>
          <w:lang w:val="it-IT"/>
        </w:rPr>
      </w:pPr>
      <w:r w:rsidRPr="0015016B">
        <w:rPr>
          <w:b/>
          <w:lang w:bidi="en-US"/>
        </w:rPr>
        <w:t>AMENDMENT AND ADDITIONS TO THE ARTICLES OF INCORPORATION OF SNN</w:t>
      </w:r>
    </w:p>
    <w:p w:rsidR="009B21FD" w:rsidRDefault="009B21FD" w:rsidP="009B21FD">
      <w:pPr>
        <w:jc w:val="center"/>
        <w:rPr>
          <w:b/>
          <w:lang w:val="it-IT"/>
        </w:rPr>
      </w:pPr>
    </w:p>
    <w:p w:rsidR="009B21FD" w:rsidRPr="00E66F86" w:rsidRDefault="009B21FD" w:rsidP="009B21FD">
      <w:pPr>
        <w:jc w:val="both"/>
        <w:rPr>
          <w:lang w:val="it-IT"/>
        </w:rPr>
      </w:pPr>
      <w:r w:rsidRPr="00E66F86">
        <w:rPr>
          <w:b/>
          <w:lang w:bidi="en-US"/>
        </w:rPr>
        <w:t>1.</w:t>
      </w:r>
      <w:r w:rsidRPr="00E66F86">
        <w:rPr>
          <w:lang w:bidi="en-US"/>
        </w:rPr>
        <w:t xml:space="preserve"> The name of the </w:t>
      </w:r>
      <w:r w:rsidRPr="00E66F86">
        <w:rPr>
          <w:b/>
          <w:lang w:bidi="en-US"/>
        </w:rPr>
        <w:t>ARTICLES OF INCORPORATION</w:t>
      </w:r>
      <w:r w:rsidRPr="00E66F86">
        <w:rPr>
          <w:lang w:bidi="en-US"/>
        </w:rPr>
        <w:t xml:space="preserve"> of </w:t>
      </w:r>
      <w:proofErr w:type="spellStart"/>
      <w:r w:rsidRPr="00E66F86">
        <w:rPr>
          <w:lang w:bidi="en-US"/>
        </w:rPr>
        <w:t>S.N.Nuclearelectrica</w:t>
      </w:r>
      <w:proofErr w:type="spellEnd"/>
      <w:r w:rsidRPr="00E66F86">
        <w:rPr>
          <w:lang w:bidi="en-US"/>
        </w:rPr>
        <w:t xml:space="preserve"> S.A is hereby amended, as follows: “The ARTICLES OF INCORPORATION of </w:t>
      </w:r>
      <w:proofErr w:type="spellStart"/>
      <w:r w:rsidRPr="00E66F86">
        <w:rPr>
          <w:lang w:bidi="en-US"/>
        </w:rPr>
        <w:t>Societatea</w:t>
      </w:r>
      <w:proofErr w:type="spellEnd"/>
      <w:r w:rsidRPr="00E66F86">
        <w:rPr>
          <w:lang w:bidi="en-US"/>
        </w:rPr>
        <w:br/>
      </w:r>
      <w:proofErr w:type="spellStart"/>
      <w:r w:rsidRPr="00E66F86">
        <w:rPr>
          <w:lang w:bidi="en-US"/>
        </w:rPr>
        <w:t>Națională</w:t>
      </w:r>
      <w:proofErr w:type="spellEnd"/>
      <w:r w:rsidRPr="00E66F86">
        <w:rPr>
          <w:lang w:bidi="en-US"/>
        </w:rPr>
        <w:t xml:space="preserve"> "</w:t>
      </w:r>
      <w:proofErr w:type="spellStart"/>
      <w:r w:rsidRPr="00E66F86">
        <w:rPr>
          <w:lang w:bidi="en-US"/>
        </w:rPr>
        <w:t>Nuclearelectrica</w:t>
      </w:r>
      <w:proofErr w:type="spellEnd"/>
      <w:r w:rsidRPr="00E66F86">
        <w:rPr>
          <w:lang w:bidi="en-US"/>
        </w:rPr>
        <w:t xml:space="preserve">" S.A. with the amendments and additions registered until </w:t>
      </w:r>
      <w:r w:rsidRPr="00E66F86">
        <w:rPr>
          <w:b/>
          <w:lang w:bidi="en-US"/>
        </w:rPr>
        <w:t>20.05.2019</w:t>
      </w:r>
      <w:r w:rsidRPr="00E66F86">
        <w:rPr>
          <w:lang w:bidi="en-US"/>
        </w:rPr>
        <w:t>”</w:t>
      </w:r>
    </w:p>
    <w:p w:rsidR="009B21FD" w:rsidRPr="00E66F86" w:rsidRDefault="009B21FD" w:rsidP="009B21FD">
      <w:pPr>
        <w:jc w:val="both"/>
        <w:rPr>
          <w:b/>
          <w:lang w:eastAsia="ro-RO"/>
        </w:rPr>
      </w:pPr>
    </w:p>
    <w:p w:rsidR="009B21FD" w:rsidRPr="00E66F86" w:rsidRDefault="009B21FD" w:rsidP="009B21FD">
      <w:pPr>
        <w:jc w:val="both"/>
        <w:rPr>
          <w:b/>
          <w:i/>
        </w:rPr>
      </w:pPr>
      <w:r>
        <w:rPr>
          <w:b/>
          <w:lang w:bidi="en-US"/>
        </w:rPr>
        <w:t>2</w:t>
      </w:r>
      <w:r w:rsidRPr="00E66F86">
        <w:rPr>
          <w:lang w:bidi="en-US"/>
        </w:rPr>
        <w:t>.</w:t>
      </w:r>
      <w:r>
        <w:rPr>
          <w:lang w:bidi="en-US"/>
        </w:rPr>
        <w:t xml:space="preserve"> Par 5 of</w:t>
      </w:r>
      <w:r w:rsidRPr="00E66F86">
        <w:rPr>
          <w:lang w:bidi="en-US"/>
        </w:rPr>
        <w:t xml:space="preserve"> </w:t>
      </w:r>
      <w:r w:rsidRPr="00E66F86">
        <w:rPr>
          <w:b/>
          <w:lang w:bidi="en-US"/>
        </w:rPr>
        <w:t xml:space="preserve">Art. </w:t>
      </w:r>
      <w:proofErr w:type="gramStart"/>
      <w:r w:rsidRPr="00E66F86">
        <w:rPr>
          <w:b/>
          <w:lang w:bidi="en-US"/>
        </w:rPr>
        <w:t>21</w:t>
      </w:r>
      <w:r w:rsidRPr="00E66F86">
        <w:rPr>
          <w:lang w:bidi="en-US"/>
        </w:rPr>
        <w:t xml:space="preserve"> </w:t>
      </w:r>
      <w:r w:rsidRPr="00E66F86">
        <w:rPr>
          <w:b/>
          <w:i/>
          <w:lang w:bidi="en-US"/>
        </w:rPr>
        <w:t>”</w:t>
      </w:r>
      <w:proofErr w:type="gramEnd"/>
      <w:r w:rsidRPr="00E66F86">
        <w:rPr>
          <w:b/>
          <w:i/>
          <w:lang w:bidi="en-US"/>
        </w:rPr>
        <w:t>Chief Executive Officer and Managers"</w:t>
      </w:r>
      <w:r w:rsidRPr="00E66F86">
        <w:rPr>
          <w:i/>
          <w:lang w:bidi="en-US"/>
        </w:rPr>
        <w:t xml:space="preserve"> </w:t>
      </w:r>
      <w:r>
        <w:rPr>
          <w:lang w:bidi="en-US"/>
        </w:rPr>
        <w:t>is removed</w:t>
      </w:r>
      <w:r w:rsidRPr="00E66F86">
        <w:rPr>
          <w:lang w:bidi="en-US"/>
        </w:rPr>
        <w:t>:</w:t>
      </w:r>
    </w:p>
    <w:p w:rsidR="009B21FD" w:rsidRPr="00E66F86" w:rsidRDefault="009B21FD" w:rsidP="009B21FD">
      <w:pPr>
        <w:jc w:val="both"/>
        <w:rPr>
          <w:lang w:val="it-IT"/>
        </w:rPr>
      </w:pPr>
    </w:p>
    <w:p w:rsidR="009B21FD" w:rsidRPr="00E66F86" w:rsidRDefault="009B21FD" w:rsidP="009B21FD">
      <w:pPr>
        <w:widowControl w:val="0"/>
        <w:numPr>
          <w:ilvl w:val="0"/>
          <w:numId w:val="15"/>
        </w:numPr>
        <w:autoSpaceDE w:val="0"/>
        <w:autoSpaceDN w:val="0"/>
        <w:adjustRightInd w:val="0"/>
        <w:spacing w:after="0" w:line="240" w:lineRule="auto"/>
        <w:jc w:val="both"/>
        <w:rPr>
          <w:lang w:val="it-IT"/>
        </w:rPr>
      </w:pPr>
      <w:proofErr w:type="gramStart"/>
      <w:r w:rsidRPr="00E66F86">
        <w:rPr>
          <w:lang w:bidi="en-US"/>
        </w:rPr>
        <w:t>par</w:t>
      </w:r>
      <w:proofErr w:type="gramEnd"/>
      <w:r w:rsidRPr="00E66F86">
        <w:rPr>
          <w:lang w:bidi="en-US"/>
        </w:rPr>
        <w:t>. (6)</w:t>
      </w:r>
      <w:r>
        <w:rPr>
          <w:lang w:bidi="en-US"/>
        </w:rPr>
        <w:t xml:space="preserve"> </w:t>
      </w:r>
      <w:proofErr w:type="gramStart"/>
      <w:r>
        <w:rPr>
          <w:lang w:bidi="en-US"/>
        </w:rPr>
        <w:t>of</w:t>
      </w:r>
      <w:proofErr w:type="gramEnd"/>
      <w:r>
        <w:rPr>
          <w:lang w:bidi="en-US"/>
        </w:rPr>
        <w:t xml:space="preserve"> art 21</w:t>
      </w:r>
      <w:r w:rsidRPr="00E66F86">
        <w:rPr>
          <w:lang w:bidi="en-US"/>
        </w:rPr>
        <w:t xml:space="preserve"> is re-numbered and becomes par. (5);</w:t>
      </w:r>
    </w:p>
    <w:p w:rsidR="009B21FD" w:rsidRPr="00E66F86" w:rsidRDefault="009B21FD" w:rsidP="009B21FD">
      <w:pPr>
        <w:widowControl w:val="0"/>
        <w:numPr>
          <w:ilvl w:val="0"/>
          <w:numId w:val="15"/>
        </w:numPr>
        <w:autoSpaceDE w:val="0"/>
        <w:autoSpaceDN w:val="0"/>
        <w:adjustRightInd w:val="0"/>
        <w:spacing w:after="0" w:line="240" w:lineRule="auto"/>
        <w:jc w:val="both"/>
        <w:rPr>
          <w:lang w:val="it-IT"/>
        </w:rPr>
      </w:pPr>
      <w:proofErr w:type="gramStart"/>
      <w:r w:rsidRPr="00E66F86">
        <w:rPr>
          <w:lang w:bidi="en-US"/>
        </w:rPr>
        <w:t>par</w:t>
      </w:r>
      <w:proofErr w:type="gramEnd"/>
      <w:r w:rsidRPr="00E66F86">
        <w:rPr>
          <w:lang w:bidi="en-US"/>
        </w:rPr>
        <w:t>. (7)</w:t>
      </w:r>
      <w:r w:rsidRPr="00EF621A">
        <w:rPr>
          <w:lang w:bidi="en-US"/>
        </w:rPr>
        <w:t xml:space="preserve"> </w:t>
      </w:r>
      <w:proofErr w:type="gramStart"/>
      <w:r>
        <w:rPr>
          <w:lang w:bidi="en-US"/>
        </w:rPr>
        <w:t>of</w:t>
      </w:r>
      <w:proofErr w:type="gramEnd"/>
      <w:r>
        <w:rPr>
          <w:lang w:bidi="en-US"/>
        </w:rPr>
        <w:t xml:space="preserve"> art 21</w:t>
      </w:r>
      <w:r w:rsidRPr="00E66F86">
        <w:rPr>
          <w:lang w:bidi="en-US"/>
        </w:rPr>
        <w:t xml:space="preserve">  is re-numbered and becomes par. (6);</w:t>
      </w:r>
    </w:p>
    <w:p w:rsidR="009B21FD" w:rsidRPr="00E66F86" w:rsidRDefault="009B21FD" w:rsidP="009B21FD">
      <w:pPr>
        <w:widowControl w:val="0"/>
        <w:numPr>
          <w:ilvl w:val="0"/>
          <w:numId w:val="15"/>
        </w:numPr>
        <w:autoSpaceDE w:val="0"/>
        <w:autoSpaceDN w:val="0"/>
        <w:adjustRightInd w:val="0"/>
        <w:spacing w:after="0" w:line="240" w:lineRule="auto"/>
        <w:jc w:val="both"/>
        <w:rPr>
          <w:lang w:val="it-IT"/>
        </w:rPr>
      </w:pPr>
      <w:proofErr w:type="gramStart"/>
      <w:r w:rsidRPr="00E66F86">
        <w:rPr>
          <w:lang w:bidi="en-US"/>
        </w:rPr>
        <w:t>par</w:t>
      </w:r>
      <w:proofErr w:type="gramEnd"/>
      <w:r w:rsidRPr="00E66F86">
        <w:rPr>
          <w:lang w:bidi="en-US"/>
        </w:rPr>
        <w:t>. (8)</w:t>
      </w:r>
      <w:r w:rsidRPr="00EF621A">
        <w:rPr>
          <w:lang w:bidi="en-US"/>
        </w:rPr>
        <w:t xml:space="preserve"> </w:t>
      </w:r>
      <w:proofErr w:type="gramStart"/>
      <w:r>
        <w:rPr>
          <w:lang w:bidi="en-US"/>
        </w:rPr>
        <w:t>of</w:t>
      </w:r>
      <w:proofErr w:type="gramEnd"/>
      <w:r>
        <w:rPr>
          <w:lang w:bidi="en-US"/>
        </w:rPr>
        <w:t xml:space="preserve"> art 21</w:t>
      </w:r>
      <w:r w:rsidRPr="00E66F86">
        <w:rPr>
          <w:lang w:bidi="en-US"/>
        </w:rPr>
        <w:t xml:space="preserve">  is re-numbered and becomes par. (7);</w:t>
      </w:r>
    </w:p>
    <w:p w:rsidR="009B21FD" w:rsidRPr="00E66F86" w:rsidRDefault="009B21FD" w:rsidP="009B21FD">
      <w:pPr>
        <w:widowControl w:val="0"/>
        <w:numPr>
          <w:ilvl w:val="0"/>
          <w:numId w:val="15"/>
        </w:numPr>
        <w:autoSpaceDE w:val="0"/>
        <w:autoSpaceDN w:val="0"/>
        <w:adjustRightInd w:val="0"/>
        <w:spacing w:after="0" w:line="240" w:lineRule="auto"/>
        <w:jc w:val="both"/>
        <w:rPr>
          <w:lang w:val="it-IT"/>
        </w:rPr>
      </w:pPr>
      <w:proofErr w:type="gramStart"/>
      <w:r w:rsidRPr="00E66F86">
        <w:rPr>
          <w:lang w:bidi="en-US"/>
        </w:rPr>
        <w:t>par</w:t>
      </w:r>
      <w:proofErr w:type="gramEnd"/>
      <w:r w:rsidRPr="00E66F86">
        <w:rPr>
          <w:lang w:bidi="en-US"/>
        </w:rPr>
        <w:t xml:space="preserve">. (9) </w:t>
      </w:r>
      <w:proofErr w:type="gramStart"/>
      <w:r>
        <w:rPr>
          <w:lang w:bidi="en-US"/>
        </w:rPr>
        <w:t>of</w:t>
      </w:r>
      <w:proofErr w:type="gramEnd"/>
      <w:r>
        <w:rPr>
          <w:lang w:bidi="en-US"/>
        </w:rPr>
        <w:t xml:space="preserve"> art 21</w:t>
      </w:r>
      <w:r w:rsidRPr="00E66F86">
        <w:rPr>
          <w:lang w:bidi="en-US"/>
        </w:rPr>
        <w:t xml:space="preserve"> is re-numbered and becomes par. (8);</w:t>
      </w:r>
    </w:p>
    <w:p w:rsidR="009B21FD" w:rsidRPr="00E66F86" w:rsidRDefault="009B21FD" w:rsidP="009B21FD">
      <w:pPr>
        <w:jc w:val="both"/>
        <w:rPr>
          <w:lang w:val="it-IT"/>
        </w:rPr>
      </w:pPr>
    </w:p>
    <w:p w:rsidR="009B21FD" w:rsidRPr="00E66F86" w:rsidRDefault="009B21FD" w:rsidP="009B21FD">
      <w:pPr>
        <w:jc w:val="both"/>
        <w:rPr>
          <w:b/>
          <w:lang w:val="it-IT"/>
        </w:rPr>
      </w:pPr>
      <w:r w:rsidRPr="00E66F86">
        <w:rPr>
          <w:b/>
          <w:lang w:bidi="en-US"/>
        </w:rPr>
        <w:t xml:space="preserve">4. </w:t>
      </w:r>
      <w:r w:rsidRPr="00E66F86">
        <w:rPr>
          <w:lang w:bidi="en-US"/>
        </w:rPr>
        <w:t xml:space="preserve"> The Annex to the ARTICLES OF INCORPORATION of S.N. Nuclearelectrica S.A. is hereby amended and shall have the following content:</w:t>
      </w:r>
    </w:p>
    <w:p w:rsidR="009B21FD" w:rsidRPr="00E66F86" w:rsidRDefault="009B21FD" w:rsidP="009B21FD">
      <w:pPr>
        <w:jc w:val="both"/>
        <w:rPr>
          <w:lang w:val="it-IT"/>
        </w:rPr>
      </w:pPr>
    </w:p>
    <w:p w:rsidR="009B21FD" w:rsidRPr="00E66F86" w:rsidRDefault="009B21FD" w:rsidP="009B21FD">
      <w:pPr>
        <w:autoSpaceDE w:val="0"/>
        <w:autoSpaceDN w:val="0"/>
        <w:adjustRightInd w:val="0"/>
        <w:jc w:val="both"/>
        <w:rPr>
          <w:rFonts w:eastAsia="Calibri"/>
          <w:b/>
        </w:rPr>
      </w:pPr>
      <w:r w:rsidRPr="00E66F86">
        <w:rPr>
          <w:b/>
          <w:lang w:bidi="en-US"/>
        </w:rPr>
        <w:t xml:space="preserve">“Annex </w:t>
      </w:r>
    </w:p>
    <w:p w:rsidR="009B21FD" w:rsidRPr="00E66F86" w:rsidRDefault="009B21FD" w:rsidP="009B21FD">
      <w:pPr>
        <w:autoSpaceDE w:val="0"/>
        <w:autoSpaceDN w:val="0"/>
        <w:adjustRightInd w:val="0"/>
        <w:jc w:val="both"/>
        <w:rPr>
          <w:rFonts w:eastAsia="Calibri"/>
        </w:rPr>
      </w:pPr>
    </w:p>
    <w:p w:rsidR="009B21FD" w:rsidRPr="00E66F86" w:rsidRDefault="009B21FD" w:rsidP="009B21FD">
      <w:pPr>
        <w:autoSpaceDE w:val="0"/>
        <w:autoSpaceDN w:val="0"/>
        <w:adjustRightInd w:val="0"/>
        <w:jc w:val="both"/>
        <w:rPr>
          <w:rFonts w:eastAsia="Calibri"/>
          <w:i/>
          <w:iCs/>
        </w:rPr>
      </w:pPr>
      <w:r w:rsidRPr="00E66F86">
        <w:rPr>
          <w:i/>
          <w:lang w:bidi="en-US"/>
        </w:rPr>
        <w:t>Competence limits of the Chief Executive Officer, the Board of Directors and the General Meeting of Shareholders in relation to the contracts and operations within the Company:</w:t>
      </w:r>
    </w:p>
    <w:p w:rsidR="009B21FD" w:rsidRPr="00E66F86" w:rsidRDefault="009B21FD" w:rsidP="009B21FD">
      <w:pPr>
        <w:autoSpaceDE w:val="0"/>
        <w:autoSpaceDN w:val="0"/>
        <w:adjustRightInd w:val="0"/>
        <w:rPr>
          <w:rFonts w:eastAsia="Calibri"/>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2360"/>
        <w:gridCol w:w="2911"/>
        <w:gridCol w:w="1211"/>
        <w:gridCol w:w="1873"/>
        <w:gridCol w:w="1421"/>
      </w:tblGrid>
      <w:tr w:rsidR="009B21FD" w:rsidRPr="00E66F86" w:rsidTr="00D97A8B">
        <w:tc>
          <w:tcPr>
            <w:tcW w:w="176" w:type="pct"/>
            <w:vMerge w:val="restart"/>
            <w:shd w:val="clear" w:color="auto" w:fill="auto"/>
          </w:tcPr>
          <w:p w:rsidR="009B21FD" w:rsidRPr="00E66F86" w:rsidRDefault="009B21FD" w:rsidP="00D97A8B">
            <w:pPr>
              <w:rPr>
                <w:rFonts w:eastAsia="Calibri"/>
              </w:rPr>
            </w:pPr>
          </w:p>
        </w:tc>
        <w:tc>
          <w:tcPr>
            <w:tcW w:w="2583" w:type="pct"/>
            <w:gridSpan w:val="2"/>
            <w:shd w:val="clear" w:color="auto" w:fill="auto"/>
          </w:tcPr>
          <w:p w:rsidR="009B21FD" w:rsidRPr="00E66F86" w:rsidRDefault="009B21FD" w:rsidP="00D97A8B">
            <w:pPr>
              <w:rPr>
                <w:rFonts w:eastAsia="Calibri"/>
              </w:rPr>
            </w:pPr>
            <w:r w:rsidRPr="00E66F86">
              <w:rPr>
                <w:b/>
                <w:lang w:bidi="en-US"/>
              </w:rPr>
              <w:t>Contracts, loans and operations</w:t>
            </w:r>
          </w:p>
        </w:tc>
        <w:tc>
          <w:tcPr>
            <w:tcW w:w="2241" w:type="pct"/>
            <w:gridSpan w:val="3"/>
            <w:shd w:val="clear" w:color="auto" w:fill="auto"/>
          </w:tcPr>
          <w:p w:rsidR="009B21FD" w:rsidRPr="00E66F86" w:rsidRDefault="009B21FD" w:rsidP="00D97A8B">
            <w:pPr>
              <w:rPr>
                <w:rFonts w:eastAsia="Calibri"/>
              </w:rPr>
            </w:pPr>
            <w:r w:rsidRPr="00E66F86">
              <w:rPr>
                <w:b/>
                <w:lang w:bidi="en-US"/>
              </w:rPr>
              <w:t>Approval competence</w:t>
            </w:r>
          </w:p>
        </w:tc>
      </w:tr>
      <w:tr w:rsidR="009B21FD" w:rsidRPr="00E66F86" w:rsidTr="00D97A8B">
        <w:tc>
          <w:tcPr>
            <w:tcW w:w="166" w:type="pct"/>
            <w:vMerge/>
            <w:shd w:val="clear" w:color="auto" w:fill="auto"/>
          </w:tcPr>
          <w:p w:rsidR="009B21FD" w:rsidRPr="00E66F86" w:rsidRDefault="009B21FD" w:rsidP="00D97A8B">
            <w:pPr>
              <w:rPr>
                <w:rFonts w:eastAsia="Calibri"/>
              </w:rPr>
            </w:pPr>
          </w:p>
        </w:tc>
        <w:tc>
          <w:tcPr>
            <w:tcW w:w="1102" w:type="pct"/>
            <w:shd w:val="clear" w:color="auto" w:fill="auto"/>
          </w:tcPr>
          <w:p w:rsidR="009B21FD" w:rsidRPr="00E66F86" w:rsidRDefault="009B21FD" w:rsidP="00D97A8B">
            <w:pPr>
              <w:autoSpaceDE w:val="0"/>
              <w:autoSpaceDN w:val="0"/>
              <w:adjustRightInd w:val="0"/>
              <w:rPr>
                <w:rFonts w:eastAsia="Calibri"/>
              </w:rPr>
            </w:pPr>
            <w:r w:rsidRPr="00E66F86">
              <w:rPr>
                <w:b/>
                <w:lang w:bidi="en-US"/>
              </w:rPr>
              <w:t>Type of contract/operation</w:t>
            </w:r>
          </w:p>
        </w:tc>
        <w:tc>
          <w:tcPr>
            <w:tcW w:w="1446" w:type="pct"/>
            <w:shd w:val="clear" w:color="auto" w:fill="auto"/>
          </w:tcPr>
          <w:p w:rsidR="009B21FD" w:rsidRPr="00E66F86" w:rsidRDefault="009B21FD" w:rsidP="00D97A8B">
            <w:pPr>
              <w:autoSpaceDE w:val="0"/>
              <w:autoSpaceDN w:val="0"/>
              <w:adjustRightInd w:val="0"/>
              <w:rPr>
                <w:rFonts w:eastAsia="Calibri"/>
              </w:rPr>
            </w:pPr>
            <w:r w:rsidRPr="00E66F86">
              <w:rPr>
                <w:b/>
                <w:lang w:bidi="en-US"/>
              </w:rPr>
              <w:t>Value of contract/operation</w:t>
            </w:r>
          </w:p>
        </w:tc>
        <w:tc>
          <w:tcPr>
            <w:tcW w:w="606" w:type="pct"/>
            <w:shd w:val="clear" w:color="auto" w:fill="auto"/>
          </w:tcPr>
          <w:p w:rsidR="009B21FD" w:rsidRPr="00E66F86" w:rsidRDefault="009B21FD" w:rsidP="00D97A8B">
            <w:pPr>
              <w:autoSpaceDE w:val="0"/>
              <w:autoSpaceDN w:val="0"/>
              <w:adjustRightInd w:val="0"/>
              <w:rPr>
                <w:rFonts w:eastAsia="Calibri"/>
                <w:b/>
                <w:bCs/>
              </w:rPr>
            </w:pPr>
            <w:r w:rsidRPr="00E66F86">
              <w:rPr>
                <w:b/>
                <w:lang w:bidi="en-US"/>
              </w:rPr>
              <w:t xml:space="preserve">Managers </w:t>
            </w:r>
            <w:r w:rsidRPr="00E66F86">
              <w:rPr>
                <w:lang w:bidi="en-US"/>
              </w:rPr>
              <w:t>(*)</w:t>
            </w:r>
          </w:p>
          <w:p w:rsidR="009B21FD" w:rsidRPr="00E66F86" w:rsidRDefault="009B21FD" w:rsidP="00D97A8B">
            <w:pPr>
              <w:rPr>
                <w:rFonts w:eastAsia="Calibri"/>
              </w:rPr>
            </w:pPr>
          </w:p>
        </w:tc>
        <w:tc>
          <w:tcPr>
            <w:tcW w:w="933" w:type="pct"/>
            <w:shd w:val="clear" w:color="auto" w:fill="auto"/>
          </w:tcPr>
          <w:p w:rsidR="009B21FD" w:rsidRPr="00E66F86" w:rsidRDefault="009B21FD" w:rsidP="00D97A8B">
            <w:pPr>
              <w:autoSpaceDE w:val="0"/>
              <w:autoSpaceDN w:val="0"/>
              <w:adjustRightInd w:val="0"/>
              <w:rPr>
                <w:rFonts w:eastAsia="Calibri"/>
                <w:b/>
                <w:bCs/>
              </w:rPr>
            </w:pPr>
            <w:r w:rsidRPr="00E66F86">
              <w:rPr>
                <w:b/>
                <w:lang w:bidi="en-US"/>
              </w:rPr>
              <w:t>Board of</w:t>
            </w:r>
          </w:p>
          <w:p w:rsidR="009B21FD" w:rsidRPr="00E66F86" w:rsidRDefault="009B21FD" w:rsidP="00D97A8B">
            <w:pPr>
              <w:rPr>
                <w:rFonts w:eastAsia="Calibri"/>
              </w:rPr>
            </w:pPr>
            <w:r w:rsidRPr="00E66F86">
              <w:rPr>
                <w:b/>
                <w:lang w:bidi="en-US"/>
              </w:rPr>
              <w:t>Directors</w:t>
            </w:r>
          </w:p>
        </w:tc>
        <w:tc>
          <w:tcPr>
            <w:tcW w:w="746" w:type="pct"/>
            <w:shd w:val="clear" w:color="auto" w:fill="auto"/>
          </w:tcPr>
          <w:p w:rsidR="009B21FD" w:rsidRPr="00E66F86" w:rsidRDefault="009B21FD" w:rsidP="00D97A8B">
            <w:pPr>
              <w:autoSpaceDE w:val="0"/>
              <w:autoSpaceDN w:val="0"/>
              <w:adjustRightInd w:val="0"/>
              <w:rPr>
                <w:rFonts w:eastAsia="Calibri"/>
                <w:b/>
                <w:bCs/>
              </w:rPr>
            </w:pPr>
            <w:r w:rsidRPr="00E66F86">
              <w:rPr>
                <w:b/>
                <w:lang w:bidi="en-US"/>
              </w:rPr>
              <w:t>General</w:t>
            </w:r>
          </w:p>
          <w:p w:rsidR="009B21FD" w:rsidRPr="00E66F86" w:rsidRDefault="009B21FD" w:rsidP="00D97A8B">
            <w:pPr>
              <w:autoSpaceDE w:val="0"/>
              <w:autoSpaceDN w:val="0"/>
              <w:adjustRightInd w:val="0"/>
              <w:rPr>
                <w:rFonts w:eastAsia="Calibri"/>
                <w:b/>
                <w:bCs/>
              </w:rPr>
            </w:pPr>
            <w:r w:rsidRPr="00E66F86">
              <w:rPr>
                <w:b/>
                <w:lang w:bidi="en-US"/>
              </w:rPr>
              <w:t>Meeting of Shareholders</w:t>
            </w:r>
          </w:p>
        </w:tc>
      </w:tr>
      <w:tr w:rsidR="009B21FD" w:rsidRPr="00E66F86" w:rsidTr="00D97A8B">
        <w:tc>
          <w:tcPr>
            <w:tcW w:w="166" w:type="pct"/>
            <w:vMerge w:val="restart"/>
            <w:shd w:val="clear" w:color="auto" w:fill="auto"/>
          </w:tcPr>
          <w:p w:rsidR="009B21FD" w:rsidRPr="00E66F86" w:rsidRDefault="009B21FD" w:rsidP="00D97A8B">
            <w:pPr>
              <w:rPr>
                <w:rFonts w:eastAsia="Calibri"/>
              </w:rPr>
            </w:pPr>
            <w:r w:rsidRPr="00E66F86">
              <w:rPr>
                <w:lang w:bidi="en-US"/>
              </w:rPr>
              <w:t>1</w:t>
            </w:r>
          </w:p>
        </w:tc>
        <w:tc>
          <w:tcPr>
            <w:tcW w:w="1102" w:type="pct"/>
            <w:vMerge w:val="restart"/>
            <w:shd w:val="clear" w:color="auto" w:fill="auto"/>
          </w:tcPr>
          <w:p w:rsidR="009B21FD" w:rsidRPr="00E66F86" w:rsidRDefault="009B21FD" w:rsidP="00D97A8B">
            <w:pPr>
              <w:autoSpaceDE w:val="0"/>
              <w:autoSpaceDN w:val="0"/>
              <w:adjustRightInd w:val="0"/>
              <w:rPr>
                <w:rFonts w:eastAsia="Calibri"/>
              </w:rPr>
            </w:pPr>
            <w:r w:rsidRPr="00E66F86">
              <w:rPr>
                <w:lang w:bidi="en-US"/>
              </w:rPr>
              <w:t xml:space="preserve">Initiating the procurement procedure for products, services and works. </w:t>
            </w:r>
          </w:p>
        </w:tc>
        <w:tc>
          <w:tcPr>
            <w:tcW w:w="1446" w:type="pct"/>
            <w:shd w:val="clear" w:color="auto" w:fill="auto"/>
          </w:tcPr>
          <w:p w:rsidR="009B21FD" w:rsidRPr="00E66F86" w:rsidRDefault="009B21FD" w:rsidP="00D97A8B">
            <w:pPr>
              <w:autoSpaceDE w:val="0"/>
              <w:autoSpaceDN w:val="0"/>
              <w:adjustRightInd w:val="0"/>
              <w:rPr>
                <w:rFonts w:eastAsia="Calibri"/>
              </w:rPr>
            </w:pPr>
            <w:r w:rsidRPr="00E66F86">
              <w:rPr>
                <w:lang w:bidi="en-US"/>
              </w:rPr>
              <w:t>Less than Euro 5,000,000</w:t>
            </w:r>
          </w:p>
        </w:tc>
        <w:tc>
          <w:tcPr>
            <w:tcW w:w="606" w:type="pct"/>
            <w:shd w:val="clear" w:color="auto" w:fill="auto"/>
          </w:tcPr>
          <w:p w:rsidR="009B21FD" w:rsidRPr="00E66F86" w:rsidRDefault="009B21FD" w:rsidP="00D97A8B">
            <w:pPr>
              <w:rPr>
                <w:rFonts w:eastAsia="Calibri"/>
              </w:rPr>
            </w:pPr>
            <w:r w:rsidRPr="00E66F86">
              <w:rPr>
                <w:lang w:bidi="en-US"/>
              </w:rPr>
              <w:t>Approves</w:t>
            </w:r>
          </w:p>
        </w:tc>
        <w:tc>
          <w:tcPr>
            <w:tcW w:w="933" w:type="pct"/>
            <w:shd w:val="clear" w:color="auto" w:fill="auto"/>
          </w:tcPr>
          <w:p w:rsidR="009B21FD" w:rsidRPr="00E66F86" w:rsidRDefault="009B21FD" w:rsidP="00D97A8B">
            <w:pPr>
              <w:rPr>
                <w:rFonts w:eastAsia="Calibri"/>
              </w:rPr>
            </w:pPr>
            <w:r w:rsidRPr="00E66F86">
              <w:rPr>
                <w:lang w:bidi="en-US"/>
              </w:rPr>
              <w:t>Is informed</w:t>
            </w:r>
          </w:p>
        </w:tc>
        <w:tc>
          <w:tcPr>
            <w:tcW w:w="746" w:type="pct"/>
            <w:shd w:val="clear" w:color="auto" w:fill="auto"/>
          </w:tcPr>
          <w:p w:rsidR="009B21FD" w:rsidRPr="00E66F86" w:rsidRDefault="009B21FD" w:rsidP="00D97A8B">
            <w:pPr>
              <w:rPr>
                <w:rFonts w:eastAsia="Calibri"/>
              </w:rPr>
            </w:pPr>
          </w:p>
        </w:tc>
      </w:tr>
      <w:tr w:rsidR="009B21FD" w:rsidRPr="00E66F86" w:rsidTr="00D97A8B">
        <w:tc>
          <w:tcPr>
            <w:tcW w:w="166" w:type="pct"/>
            <w:vMerge/>
            <w:shd w:val="clear" w:color="auto" w:fill="auto"/>
          </w:tcPr>
          <w:p w:rsidR="009B21FD" w:rsidRPr="00E66F86" w:rsidRDefault="009B21FD" w:rsidP="00D97A8B">
            <w:pPr>
              <w:rPr>
                <w:rFonts w:eastAsia="Calibri"/>
              </w:rPr>
            </w:pPr>
          </w:p>
        </w:tc>
        <w:tc>
          <w:tcPr>
            <w:tcW w:w="1102" w:type="pct"/>
            <w:vMerge/>
            <w:shd w:val="clear" w:color="auto" w:fill="auto"/>
          </w:tcPr>
          <w:p w:rsidR="009B21FD" w:rsidRPr="00E66F86" w:rsidRDefault="009B21FD" w:rsidP="00D97A8B">
            <w:pPr>
              <w:rPr>
                <w:rFonts w:eastAsia="Calibri"/>
              </w:rPr>
            </w:pPr>
          </w:p>
        </w:tc>
        <w:tc>
          <w:tcPr>
            <w:tcW w:w="1446" w:type="pct"/>
            <w:shd w:val="clear" w:color="auto" w:fill="auto"/>
          </w:tcPr>
          <w:p w:rsidR="009B21FD" w:rsidRPr="00E66F86" w:rsidRDefault="009B21FD" w:rsidP="00D97A8B">
            <w:pPr>
              <w:autoSpaceDE w:val="0"/>
              <w:autoSpaceDN w:val="0"/>
              <w:adjustRightInd w:val="0"/>
              <w:rPr>
                <w:rFonts w:eastAsia="Calibri"/>
              </w:rPr>
            </w:pPr>
            <w:r w:rsidRPr="00E66F86">
              <w:rPr>
                <w:lang w:bidi="en-US"/>
              </w:rPr>
              <w:t>Over or equal to Euro 5,000,000</w:t>
            </w:r>
          </w:p>
        </w:tc>
        <w:tc>
          <w:tcPr>
            <w:tcW w:w="606" w:type="pct"/>
            <w:shd w:val="clear" w:color="auto" w:fill="auto"/>
          </w:tcPr>
          <w:p w:rsidR="009B21FD" w:rsidRPr="00E66F86" w:rsidRDefault="009B21FD" w:rsidP="00D97A8B">
            <w:pPr>
              <w:rPr>
                <w:rFonts w:eastAsia="Calibri"/>
              </w:rPr>
            </w:pPr>
            <w:r w:rsidRPr="00E66F86">
              <w:rPr>
                <w:lang w:bidi="en-US"/>
              </w:rPr>
              <w:t>Endorses</w:t>
            </w:r>
          </w:p>
        </w:tc>
        <w:tc>
          <w:tcPr>
            <w:tcW w:w="933" w:type="pct"/>
            <w:shd w:val="clear" w:color="auto" w:fill="auto"/>
          </w:tcPr>
          <w:p w:rsidR="009B21FD" w:rsidRPr="00E66F86" w:rsidRDefault="009B21FD" w:rsidP="00D97A8B">
            <w:pPr>
              <w:rPr>
                <w:rFonts w:eastAsia="Calibri"/>
              </w:rPr>
            </w:pPr>
            <w:r w:rsidRPr="00E66F86">
              <w:rPr>
                <w:lang w:bidi="en-US"/>
              </w:rPr>
              <w:t>Approves</w:t>
            </w:r>
          </w:p>
        </w:tc>
        <w:tc>
          <w:tcPr>
            <w:tcW w:w="746" w:type="pct"/>
            <w:shd w:val="clear" w:color="auto" w:fill="auto"/>
          </w:tcPr>
          <w:p w:rsidR="009B21FD" w:rsidRPr="00E66F86" w:rsidRDefault="009B21FD" w:rsidP="00D97A8B">
            <w:pPr>
              <w:rPr>
                <w:rFonts w:eastAsia="Calibri"/>
              </w:rPr>
            </w:pPr>
          </w:p>
        </w:tc>
      </w:tr>
      <w:tr w:rsidR="009B21FD" w:rsidRPr="00E66F86" w:rsidTr="00D97A8B">
        <w:tc>
          <w:tcPr>
            <w:tcW w:w="166" w:type="pct"/>
            <w:vMerge w:val="restart"/>
            <w:shd w:val="clear" w:color="auto" w:fill="auto"/>
          </w:tcPr>
          <w:p w:rsidR="009B21FD" w:rsidRPr="00E66F86" w:rsidRDefault="009B21FD" w:rsidP="00D97A8B">
            <w:pPr>
              <w:rPr>
                <w:rFonts w:eastAsia="Calibri"/>
              </w:rPr>
            </w:pPr>
            <w:r w:rsidRPr="00E66F86">
              <w:rPr>
                <w:lang w:bidi="en-US"/>
              </w:rPr>
              <w:t>2</w:t>
            </w:r>
          </w:p>
        </w:tc>
        <w:tc>
          <w:tcPr>
            <w:tcW w:w="1102" w:type="pct"/>
            <w:vMerge w:val="restart"/>
            <w:shd w:val="clear" w:color="auto" w:fill="auto"/>
          </w:tcPr>
          <w:p w:rsidR="009B21FD" w:rsidRPr="00E66F86" w:rsidRDefault="009B21FD" w:rsidP="00D97A8B">
            <w:pPr>
              <w:autoSpaceDE w:val="0"/>
              <w:autoSpaceDN w:val="0"/>
              <w:adjustRightInd w:val="0"/>
              <w:rPr>
                <w:rFonts w:eastAsia="Calibri"/>
              </w:rPr>
            </w:pPr>
            <w:r w:rsidRPr="00E66F86">
              <w:rPr>
                <w:lang w:bidi="en-US"/>
              </w:rPr>
              <w:t xml:space="preserve">Investment decisions </w:t>
            </w:r>
          </w:p>
          <w:p w:rsidR="009B21FD" w:rsidRPr="00E66F86" w:rsidRDefault="009B21FD" w:rsidP="00D97A8B">
            <w:pPr>
              <w:autoSpaceDE w:val="0"/>
              <w:autoSpaceDN w:val="0"/>
              <w:adjustRightInd w:val="0"/>
              <w:rPr>
                <w:rFonts w:eastAsia="Calibri"/>
              </w:rPr>
            </w:pPr>
          </w:p>
          <w:p w:rsidR="009B21FD" w:rsidRPr="00E66F86" w:rsidRDefault="009B21FD" w:rsidP="00D97A8B">
            <w:pPr>
              <w:autoSpaceDE w:val="0"/>
              <w:autoSpaceDN w:val="0"/>
              <w:adjustRightInd w:val="0"/>
              <w:rPr>
                <w:rFonts w:eastAsia="Calibri"/>
              </w:rPr>
            </w:pPr>
          </w:p>
          <w:p w:rsidR="009B21FD" w:rsidRPr="00E66F86" w:rsidRDefault="009B21FD" w:rsidP="00D97A8B">
            <w:pPr>
              <w:autoSpaceDE w:val="0"/>
              <w:autoSpaceDN w:val="0"/>
              <w:adjustRightInd w:val="0"/>
              <w:rPr>
                <w:rFonts w:eastAsia="Calibri"/>
              </w:rPr>
            </w:pPr>
          </w:p>
        </w:tc>
        <w:tc>
          <w:tcPr>
            <w:tcW w:w="1446" w:type="pct"/>
            <w:shd w:val="clear" w:color="auto" w:fill="auto"/>
          </w:tcPr>
          <w:p w:rsidR="009B21FD" w:rsidRPr="00E66F86" w:rsidRDefault="009B21FD" w:rsidP="00D97A8B">
            <w:pPr>
              <w:autoSpaceDE w:val="0"/>
              <w:autoSpaceDN w:val="0"/>
              <w:adjustRightInd w:val="0"/>
              <w:rPr>
                <w:rFonts w:eastAsia="Calibri"/>
              </w:rPr>
            </w:pPr>
            <w:r w:rsidRPr="00E66F86">
              <w:rPr>
                <w:lang w:bidi="en-US"/>
              </w:rPr>
              <w:t>Less than Euro 3,000,000</w:t>
            </w:r>
          </w:p>
        </w:tc>
        <w:tc>
          <w:tcPr>
            <w:tcW w:w="606" w:type="pct"/>
            <w:shd w:val="clear" w:color="auto" w:fill="auto"/>
          </w:tcPr>
          <w:p w:rsidR="009B21FD" w:rsidRPr="00E66F86" w:rsidRDefault="009B21FD" w:rsidP="00D97A8B">
            <w:pPr>
              <w:rPr>
                <w:rFonts w:eastAsia="Calibri"/>
              </w:rPr>
            </w:pPr>
            <w:r w:rsidRPr="00E66F86">
              <w:rPr>
                <w:lang w:bidi="en-US"/>
              </w:rPr>
              <w:t>Approves</w:t>
            </w:r>
          </w:p>
        </w:tc>
        <w:tc>
          <w:tcPr>
            <w:tcW w:w="933" w:type="pct"/>
            <w:shd w:val="clear" w:color="auto" w:fill="auto"/>
          </w:tcPr>
          <w:p w:rsidR="009B21FD" w:rsidRPr="00E66F86" w:rsidRDefault="009B21FD" w:rsidP="00D97A8B">
            <w:pPr>
              <w:rPr>
                <w:rFonts w:eastAsia="Calibri"/>
              </w:rPr>
            </w:pPr>
            <w:r w:rsidRPr="00E66F86">
              <w:rPr>
                <w:lang w:bidi="en-US"/>
              </w:rPr>
              <w:t>Is informed</w:t>
            </w:r>
          </w:p>
        </w:tc>
        <w:tc>
          <w:tcPr>
            <w:tcW w:w="746" w:type="pct"/>
            <w:shd w:val="clear" w:color="auto" w:fill="auto"/>
          </w:tcPr>
          <w:p w:rsidR="009B21FD" w:rsidRPr="00E66F86" w:rsidRDefault="009B21FD" w:rsidP="00D97A8B">
            <w:pPr>
              <w:rPr>
                <w:rFonts w:eastAsia="Calibri"/>
              </w:rPr>
            </w:pPr>
          </w:p>
        </w:tc>
      </w:tr>
      <w:tr w:rsidR="009B21FD" w:rsidRPr="00E66F86" w:rsidTr="00D97A8B">
        <w:tc>
          <w:tcPr>
            <w:tcW w:w="176" w:type="pct"/>
            <w:vMerge/>
            <w:shd w:val="clear" w:color="auto" w:fill="auto"/>
          </w:tcPr>
          <w:p w:rsidR="009B21FD" w:rsidRPr="00E66F86" w:rsidRDefault="009B21FD" w:rsidP="00D97A8B">
            <w:pPr>
              <w:rPr>
                <w:rFonts w:eastAsia="Calibri"/>
              </w:rPr>
            </w:pPr>
          </w:p>
        </w:tc>
        <w:tc>
          <w:tcPr>
            <w:tcW w:w="1174" w:type="pct"/>
            <w:vMerge/>
            <w:shd w:val="clear" w:color="auto" w:fill="auto"/>
          </w:tcPr>
          <w:p w:rsidR="009B21FD" w:rsidRPr="00E66F86" w:rsidRDefault="009B21FD" w:rsidP="00D97A8B">
            <w:pPr>
              <w:rPr>
                <w:rFonts w:eastAsia="Calibri"/>
              </w:rPr>
            </w:pPr>
          </w:p>
        </w:tc>
        <w:tc>
          <w:tcPr>
            <w:tcW w:w="1409" w:type="pct"/>
            <w:shd w:val="clear" w:color="auto" w:fill="auto"/>
          </w:tcPr>
          <w:p w:rsidR="009B21FD" w:rsidRPr="00E66F86" w:rsidRDefault="009B21FD" w:rsidP="00D97A8B">
            <w:pPr>
              <w:autoSpaceDE w:val="0"/>
              <w:autoSpaceDN w:val="0"/>
              <w:adjustRightInd w:val="0"/>
              <w:rPr>
                <w:rFonts w:eastAsia="Calibri"/>
              </w:rPr>
            </w:pPr>
            <w:r w:rsidRPr="00E66F86">
              <w:rPr>
                <w:lang w:bidi="en-US"/>
              </w:rPr>
              <w:t>Over or equal to Euro 3,000,000 and less than Euro 50,000,000</w:t>
            </w:r>
          </w:p>
        </w:tc>
        <w:tc>
          <w:tcPr>
            <w:tcW w:w="602" w:type="pct"/>
            <w:shd w:val="clear" w:color="auto" w:fill="auto"/>
          </w:tcPr>
          <w:p w:rsidR="009B21FD" w:rsidRPr="00E66F86" w:rsidRDefault="009B21FD" w:rsidP="00D97A8B">
            <w:pPr>
              <w:rPr>
                <w:rFonts w:eastAsia="Calibri"/>
              </w:rPr>
            </w:pPr>
            <w:r w:rsidRPr="00E66F86">
              <w:rPr>
                <w:lang w:bidi="en-US"/>
              </w:rPr>
              <w:t>Endorses</w:t>
            </w:r>
          </w:p>
        </w:tc>
        <w:tc>
          <w:tcPr>
            <w:tcW w:w="863" w:type="pct"/>
            <w:shd w:val="clear" w:color="auto" w:fill="auto"/>
          </w:tcPr>
          <w:p w:rsidR="009B21FD" w:rsidRPr="00E66F86" w:rsidRDefault="009B21FD" w:rsidP="00D97A8B">
            <w:pPr>
              <w:rPr>
                <w:rFonts w:eastAsia="Calibri"/>
              </w:rPr>
            </w:pPr>
            <w:r w:rsidRPr="00E66F86">
              <w:rPr>
                <w:lang w:bidi="en-US"/>
              </w:rPr>
              <w:t>Approves</w:t>
            </w:r>
          </w:p>
        </w:tc>
        <w:tc>
          <w:tcPr>
            <w:tcW w:w="777" w:type="pct"/>
            <w:shd w:val="clear" w:color="auto" w:fill="auto"/>
          </w:tcPr>
          <w:p w:rsidR="009B21FD" w:rsidRPr="00E66F86" w:rsidRDefault="009B21FD" w:rsidP="00D97A8B">
            <w:pPr>
              <w:rPr>
                <w:rFonts w:eastAsia="Calibri"/>
              </w:rPr>
            </w:pPr>
            <w:r w:rsidRPr="00E66F86">
              <w:rPr>
                <w:lang w:bidi="en-US"/>
              </w:rPr>
              <w:t>Is informed</w:t>
            </w:r>
          </w:p>
        </w:tc>
      </w:tr>
      <w:tr w:rsidR="009B21FD" w:rsidRPr="00E66F86" w:rsidTr="00D97A8B">
        <w:tc>
          <w:tcPr>
            <w:tcW w:w="176" w:type="pct"/>
            <w:vMerge/>
            <w:shd w:val="clear" w:color="auto" w:fill="auto"/>
          </w:tcPr>
          <w:p w:rsidR="009B21FD" w:rsidRPr="00E66F86" w:rsidRDefault="009B21FD" w:rsidP="00D97A8B">
            <w:pPr>
              <w:rPr>
                <w:rFonts w:eastAsia="Calibri"/>
              </w:rPr>
            </w:pPr>
          </w:p>
        </w:tc>
        <w:tc>
          <w:tcPr>
            <w:tcW w:w="1174" w:type="pct"/>
            <w:vMerge/>
            <w:shd w:val="clear" w:color="auto" w:fill="auto"/>
          </w:tcPr>
          <w:p w:rsidR="009B21FD" w:rsidRPr="00E66F86" w:rsidRDefault="009B21FD" w:rsidP="00D97A8B">
            <w:pPr>
              <w:rPr>
                <w:rFonts w:eastAsia="Calibri"/>
              </w:rPr>
            </w:pPr>
          </w:p>
        </w:tc>
        <w:tc>
          <w:tcPr>
            <w:tcW w:w="1409" w:type="pct"/>
            <w:shd w:val="clear" w:color="auto" w:fill="auto"/>
          </w:tcPr>
          <w:p w:rsidR="009B21FD" w:rsidRPr="00E66F86" w:rsidRDefault="009B21FD" w:rsidP="00D97A8B">
            <w:pPr>
              <w:autoSpaceDE w:val="0"/>
              <w:autoSpaceDN w:val="0"/>
              <w:adjustRightInd w:val="0"/>
              <w:rPr>
                <w:rFonts w:eastAsia="Calibri"/>
              </w:rPr>
            </w:pPr>
            <w:r w:rsidRPr="00E66F86">
              <w:rPr>
                <w:lang w:bidi="en-US"/>
              </w:rPr>
              <w:t>Over or equal to Euro 50,000,000. Euro</w:t>
            </w:r>
          </w:p>
        </w:tc>
        <w:tc>
          <w:tcPr>
            <w:tcW w:w="602" w:type="pct"/>
            <w:shd w:val="clear" w:color="auto" w:fill="auto"/>
          </w:tcPr>
          <w:p w:rsidR="009B21FD" w:rsidRPr="00E66F86" w:rsidRDefault="009B21FD" w:rsidP="00D97A8B">
            <w:pPr>
              <w:rPr>
                <w:rFonts w:eastAsia="Calibri"/>
              </w:rPr>
            </w:pPr>
            <w:r w:rsidRPr="00E66F86">
              <w:rPr>
                <w:lang w:bidi="en-US"/>
              </w:rPr>
              <w:t>Endorses</w:t>
            </w:r>
          </w:p>
        </w:tc>
        <w:tc>
          <w:tcPr>
            <w:tcW w:w="863" w:type="pct"/>
            <w:shd w:val="clear" w:color="auto" w:fill="auto"/>
          </w:tcPr>
          <w:p w:rsidR="009B21FD" w:rsidRPr="00E66F86" w:rsidRDefault="009B21FD" w:rsidP="00D97A8B">
            <w:pPr>
              <w:rPr>
                <w:rFonts w:eastAsia="Calibri"/>
              </w:rPr>
            </w:pPr>
            <w:r w:rsidRPr="00E66F86">
              <w:rPr>
                <w:lang w:bidi="en-US"/>
              </w:rPr>
              <w:t>Endorses</w:t>
            </w:r>
          </w:p>
        </w:tc>
        <w:tc>
          <w:tcPr>
            <w:tcW w:w="777" w:type="pct"/>
            <w:shd w:val="clear" w:color="auto" w:fill="auto"/>
          </w:tcPr>
          <w:p w:rsidR="009B21FD" w:rsidRPr="00E66F86" w:rsidRDefault="009B21FD" w:rsidP="00D97A8B">
            <w:pPr>
              <w:rPr>
                <w:rFonts w:eastAsia="Calibri"/>
              </w:rPr>
            </w:pPr>
            <w:r w:rsidRPr="00E66F86">
              <w:rPr>
                <w:lang w:bidi="en-US"/>
              </w:rPr>
              <w:t>Approves</w:t>
            </w:r>
          </w:p>
        </w:tc>
      </w:tr>
      <w:tr w:rsidR="009B21FD" w:rsidRPr="00E66F86" w:rsidTr="00D97A8B">
        <w:tc>
          <w:tcPr>
            <w:tcW w:w="176" w:type="pct"/>
            <w:vMerge w:val="restart"/>
            <w:shd w:val="clear" w:color="auto" w:fill="auto"/>
          </w:tcPr>
          <w:p w:rsidR="009B21FD" w:rsidRPr="00E66F86" w:rsidRDefault="009B21FD" w:rsidP="00D97A8B">
            <w:pPr>
              <w:rPr>
                <w:rFonts w:eastAsia="Calibri"/>
              </w:rPr>
            </w:pPr>
            <w:r w:rsidRPr="00E66F86">
              <w:rPr>
                <w:lang w:bidi="en-US"/>
              </w:rPr>
              <w:t>3</w:t>
            </w:r>
          </w:p>
        </w:tc>
        <w:tc>
          <w:tcPr>
            <w:tcW w:w="1174" w:type="pct"/>
            <w:vMerge w:val="restart"/>
            <w:shd w:val="clear" w:color="auto" w:fill="auto"/>
          </w:tcPr>
          <w:p w:rsidR="009B21FD" w:rsidRPr="00E66F86" w:rsidRDefault="009B21FD" w:rsidP="00D97A8B">
            <w:pPr>
              <w:autoSpaceDE w:val="0"/>
              <w:autoSpaceDN w:val="0"/>
              <w:adjustRightInd w:val="0"/>
              <w:rPr>
                <w:rFonts w:eastAsia="Calibri"/>
              </w:rPr>
            </w:pPr>
            <w:r w:rsidRPr="00E66F86">
              <w:rPr>
                <w:lang w:bidi="en-US"/>
              </w:rPr>
              <w:t>Conventions on staging receivables</w:t>
            </w:r>
          </w:p>
        </w:tc>
        <w:tc>
          <w:tcPr>
            <w:tcW w:w="1409" w:type="pct"/>
            <w:shd w:val="clear" w:color="auto" w:fill="auto"/>
          </w:tcPr>
          <w:p w:rsidR="009B21FD" w:rsidRPr="00E66F86" w:rsidRDefault="009B21FD" w:rsidP="00D97A8B">
            <w:pPr>
              <w:autoSpaceDE w:val="0"/>
              <w:autoSpaceDN w:val="0"/>
              <w:adjustRightInd w:val="0"/>
              <w:rPr>
                <w:rFonts w:eastAsia="Calibri"/>
              </w:rPr>
            </w:pPr>
            <w:r w:rsidRPr="00E66F86">
              <w:rPr>
                <w:lang w:bidi="en-US"/>
              </w:rPr>
              <w:t>Less than Euro 3,000,000</w:t>
            </w:r>
          </w:p>
        </w:tc>
        <w:tc>
          <w:tcPr>
            <w:tcW w:w="602" w:type="pct"/>
            <w:shd w:val="clear" w:color="auto" w:fill="auto"/>
          </w:tcPr>
          <w:p w:rsidR="009B21FD" w:rsidRPr="00E66F86" w:rsidRDefault="009B21FD" w:rsidP="00D97A8B">
            <w:pPr>
              <w:rPr>
                <w:rFonts w:eastAsia="Calibri"/>
              </w:rPr>
            </w:pPr>
            <w:r w:rsidRPr="00E66F86">
              <w:rPr>
                <w:lang w:bidi="en-US"/>
              </w:rPr>
              <w:t>Approves</w:t>
            </w:r>
          </w:p>
        </w:tc>
        <w:tc>
          <w:tcPr>
            <w:tcW w:w="863" w:type="pct"/>
            <w:shd w:val="clear" w:color="auto" w:fill="auto"/>
          </w:tcPr>
          <w:p w:rsidR="009B21FD" w:rsidRPr="00E66F86" w:rsidRDefault="009B21FD" w:rsidP="00D97A8B">
            <w:pPr>
              <w:rPr>
                <w:rFonts w:eastAsia="Calibri"/>
              </w:rPr>
            </w:pPr>
            <w:r w:rsidRPr="00E66F86">
              <w:rPr>
                <w:lang w:bidi="en-US"/>
              </w:rPr>
              <w:t>Is informed</w:t>
            </w:r>
          </w:p>
        </w:tc>
        <w:tc>
          <w:tcPr>
            <w:tcW w:w="777" w:type="pct"/>
            <w:shd w:val="clear" w:color="auto" w:fill="auto"/>
          </w:tcPr>
          <w:p w:rsidR="009B21FD" w:rsidRPr="00E66F86" w:rsidRDefault="009B21FD" w:rsidP="00D97A8B">
            <w:pPr>
              <w:rPr>
                <w:rFonts w:eastAsia="Calibri"/>
              </w:rPr>
            </w:pPr>
          </w:p>
        </w:tc>
      </w:tr>
      <w:tr w:rsidR="009B21FD" w:rsidRPr="00E66F86" w:rsidTr="00D97A8B">
        <w:tc>
          <w:tcPr>
            <w:tcW w:w="176" w:type="pct"/>
            <w:vMerge/>
            <w:shd w:val="clear" w:color="auto" w:fill="auto"/>
          </w:tcPr>
          <w:p w:rsidR="009B21FD" w:rsidRPr="00E66F86" w:rsidRDefault="009B21FD" w:rsidP="00D97A8B">
            <w:pPr>
              <w:rPr>
                <w:rFonts w:eastAsia="Calibri"/>
              </w:rPr>
            </w:pPr>
          </w:p>
        </w:tc>
        <w:tc>
          <w:tcPr>
            <w:tcW w:w="1174" w:type="pct"/>
            <w:vMerge/>
            <w:shd w:val="clear" w:color="auto" w:fill="auto"/>
          </w:tcPr>
          <w:p w:rsidR="009B21FD" w:rsidRPr="00E66F86" w:rsidRDefault="009B21FD" w:rsidP="00D97A8B">
            <w:pPr>
              <w:rPr>
                <w:rFonts w:eastAsia="Calibri"/>
              </w:rPr>
            </w:pPr>
          </w:p>
        </w:tc>
        <w:tc>
          <w:tcPr>
            <w:tcW w:w="1409" w:type="pct"/>
            <w:shd w:val="clear" w:color="auto" w:fill="auto"/>
          </w:tcPr>
          <w:p w:rsidR="009B21FD" w:rsidRPr="00E66F86" w:rsidRDefault="009B21FD" w:rsidP="00D97A8B">
            <w:pPr>
              <w:autoSpaceDE w:val="0"/>
              <w:autoSpaceDN w:val="0"/>
              <w:adjustRightInd w:val="0"/>
              <w:rPr>
                <w:rFonts w:eastAsia="Calibri"/>
              </w:rPr>
            </w:pPr>
            <w:r w:rsidRPr="00E66F86">
              <w:rPr>
                <w:lang w:bidi="en-US"/>
              </w:rPr>
              <w:t>Over or equal to Euro 3,000,000</w:t>
            </w:r>
          </w:p>
        </w:tc>
        <w:tc>
          <w:tcPr>
            <w:tcW w:w="602" w:type="pct"/>
            <w:shd w:val="clear" w:color="auto" w:fill="auto"/>
          </w:tcPr>
          <w:p w:rsidR="009B21FD" w:rsidRPr="00E66F86" w:rsidRDefault="009B21FD" w:rsidP="00D97A8B">
            <w:pPr>
              <w:rPr>
                <w:rFonts w:eastAsia="Calibri"/>
              </w:rPr>
            </w:pPr>
            <w:r w:rsidRPr="00E66F86">
              <w:rPr>
                <w:lang w:bidi="en-US"/>
              </w:rPr>
              <w:t>Endorses</w:t>
            </w:r>
          </w:p>
        </w:tc>
        <w:tc>
          <w:tcPr>
            <w:tcW w:w="863" w:type="pct"/>
            <w:shd w:val="clear" w:color="auto" w:fill="auto"/>
          </w:tcPr>
          <w:p w:rsidR="009B21FD" w:rsidRPr="00E66F86" w:rsidRDefault="009B21FD" w:rsidP="00D97A8B">
            <w:pPr>
              <w:rPr>
                <w:rFonts w:eastAsia="Calibri"/>
              </w:rPr>
            </w:pPr>
            <w:r w:rsidRPr="00E66F86">
              <w:rPr>
                <w:lang w:bidi="en-US"/>
              </w:rPr>
              <w:t>Approves</w:t>
            </w:r>
          </w:p>
        </w:tc>
        <w:tc>
          <w:tcPr>
            <w:tcW w:w="777" w:type="pct"/>
            <w:shd w:val="clear" w:color="auto" w:fill="auto"/>
          </w:tcPr>
          <w:p w:rsidR="009B21FD" w:rsidRPr="00E66F86" w:rsidRDefault="009B21FD" w:rsidP="00D97A8B">
            <w:pPr>
              <w:rPr>
                <w:rFonts w:eastAsia="Calibri"/>
              </w:rPr>
            </w:pPr>
          </w:p>
        </w:tc>
      </w:tr>
      <w:tr w:rsidR="009B21FD" w:rsidRPr="00E66F86" w:rsidTr="00D97A8B">
        <w:tc>
          <w:tcPr>
            <w:tcW w:w="176" w:type="pct"/>
            <w:vMerge w:val="restart"/>
            <w:shd w:val="clear" w:color="auto" w:fill="auto"/>
          </w:tcPr>
          <w:p w:rsidR="009B21FD" w:rsidRPr="00E66F86" w:rsidRDefault="009B21FD" w:rsidP="00D97A8B">
            <w:pPr>
              <w:rPr>
                <w:rFonts w:eastAsia="Calibri"/>
              </w:rPr>
            </w:pPr>
            <w:r w:rsidRPr="00E66F86">
              <w:rPr>
                <w:lang w:bidi="en-US"/>
              </w:rPr>
              <w:t>4</w:t>
            </w:r>
          </w:p>
        </w:tc>
        <w:tc>
          <w:tcPr>
            <w:tcW w:w="1174" w:type="pct"/>
            <w:vMerge w:val="restart"/>
            <w:shd w:val="clear" w:color="auto" w:fill="auto"/>
          </w:tcPr>
          <w:p w:rsidR="009B21FD" w:rsidRPr="00E66F86" w:rsidRDefault="009B21FD" w:rsidP="00D97A8B">
            <w:pPr>
              <w:autoSpaceDE w:val="0"/>
              <w:autoSpaceDN w:val="0"/>
              <w:adjustRightInd w:val="0"/>
              <w:rPr>
                <w:rFonts w:eastAsia="Calibri"/>
              </w:rPr>
            </w:pPr>
            <w:r w:rsidRPr="00E66F86">
              <w:rPr>
                <w:lang w:bidi="en-US"/>
              </w:rPr>
              <w:t>Contracting loans, regardless</w:t>
            </w:r>
          </w:p>
          <w:p w:rsidR="009B21FD" w:rsidRPr="00E66F86" w:rsidRDefault="009B21FD" w:rsidP="00D97A8B">
            <w:pPr>
              <w:rPr>
                <w:rFonts w:eastAsia="Calibri"/>
              </w:rPr>
            </w:pPr>
            <w:r w:rsidRPr="00E66F86">
              <w:rPr>
                <w:lang w:bidi="en-US"/>
              </w:rPr>
              <w:t>their term</w:t>
            </w:r>
          </w:p>
        </w:tc>
        <w:tc>
          <w:tcPr>
            <w:tcW w:w="1409" w:type="pct"/>
            <w:shd w:val="clear" w:color="auto" w:fill="auto"/>
          </w:tcPr>
          <w:p w:rsidR="009B21FD" w:rsidRPr="00E66F86" w:rsidRDefault="009B21FD" w:rsidP="00D97A8B">
            <w:pPr>
              <w:autoSpaceDE w:val="0"/>
              <w:autoSpaceDN w:val="0"/>
              <w:adjustRightInd w:val="0"/>
              <w:rPr>
                <w:rFonts w:eastAsia="Calibri"/>
              </w:rPr>
            </w:pPr>
            <w:r w:rsidRPr="00E66F86">
              <w:rPr>
                <w:lang w:bidi="en-US"/>
              </w:rPr>
              <w:t>Less than</w:t>
            </w:r>
          </w:p>
          <w:p w:rsidR="009B21FD" w:rsidRPr="00E66F86" w:rsidRDefault="009B21FD" w:rsidP="00D97A8B">
            <w:pPr>
              <w:rPr>
                <w:rFonts w:eastAsia="Calibri"/>
              </w:rPr>
            </w:pPr>
            <w:r w:rsidRPr="00E66F86">
              <w:rPr>
                <w:lang w:bidi="en-US"/>
              </w:rPr>
              <w:t xml:space="preserve">  Euro 50,000,000</w:t>
            </w:r>
          </w:p>
        </w:tc>
        <w:tc>
          <w:tcPr>
            <w:tcW w:w="602" w:type="pct"/>
            <w:shd w:val="clear" w:color="auto" w:fill="auto"/>
          </w:tcPr>
          <w:p w:rsidR="009B21FD" w:rsidRPr="00E66F86" w:rsidRDefault="009B21FD" w:rsidP="00D97A8B">
            <w:pPr>
              <w:rPr>
                <w:rFonts w:eastAsia="Calibri"/>
              </w:rPr>
            </w:pPr>
            <w:r w:rsidRPr="00E66F86">
              <w:rPr>
                <w:lang w:bidi="en-US"/>
              </w:rPr>
              <w:t>Endorses</w:t>
            </w:r>
          </w:p>
        </w:tc>
        <w:tc>
          <w:tcPr>
            <w:tcW w:w="863" w:type="pct"/>
            <w:shd w:val="clear" w:color="auto" w:fill="auto"/>
          </w:tcPr>
          <w:p w:rsidR="009B21FD" w:rsidRPr="00E66F86" w:rsidRDefault="009B21FD" w:rsidP="00D97A8B">
            <w:pPr>
              <w:rPr>
                <w:rFonts w:eastAsia="Calibri"/>
              </w:rPr>
            </w:pPr>
            <w:r w:rsidRPr="00E66F86">
              <w:rPr>
                <w:lang w:bidi="en-US"/>
              </w:rPr>
              <w:t>Approves</w:t>
            </w:r>
          </w:p>
        </w:tc>
        <w:tc>
          <w:tcPr>
            <w:tcW w:w="777" w:type="pct"/>
            <w:shd w:val="clear" w:color="auto" w:fill="auto"/>
          </w:tcPr>
          <w:p w:rsidR="009B21FD" w:rsidRPr="00E66F86" w:rsidRDefault="009B21FD" w:rsidP="00D97A8B">
            <w:pPr>
              <w:rPr>
                <w:rFonts w:eastAsia="Calibri"/>
              </w:rPr>
            </w:pPr>
            <w:r w:rsidRPr="00E66F86">
              <w:rPr>
                <w:lang w:bidi="en-US"/>
              </w:rPr>
              <w:t>Is informed</w:t>
            </w:r>
          </w:p>
        </w:tc>
      </w:tr>
      <w:tr w:rsidR="009B21FD" w:rsidRPr="00E66F86" w:rsidTr="00D97A8B">
        <w:tc>
          <w:tcPr>
            <w:tcW w:w="176" w:type="pct"/>
            <w:vMerge/>
            <w:shd w:val="clear" w:color="auto" w:fill="auto"/>
          </w:tcPr>
          <w:p w:rsidR="009B21FD" w:rsidRPr="00E66F86" w:rsidRDefault="009B21FD" w:rsidP="00D97A8B">
            <w:pPr>
              <w:rPr>
                <w:rFonts w:eastAsia="Calibri"/>
              </w:rPr>
            </w:pPr>
          </w:p>
        </w:tc>
        <w:tc>
          <w:tcPr>
            <w:tcW w:w="1174" w:type="pct"/>
            <w:vMerge/>
            <w:shd w:val="clear" w:color="auto" w:fill="auto"/>
          </w:tcPr>
          <w:p w:rsidR="009B21FD" w:rsidRPr="00E66F86" w:rsidRDefault="009B21FD" w:rsidP="00D97A8B">
            <w:pPr>
              <w:rPr>
                <w:rFonts w:eastAsia="Calibri"/>
              </w:rPr>
            </w:pPr>
          </w:p>
        </w:tc>
        <w:tc>
          <w:tcPr>
            <w:tcW w:w="1409" w:type="pct"/>
            <w:shd w:val="clear" w:color="auto" w:fill="auto"/>
          </w:tcPr>
          <w:p w:rsidR="009B21FD" w:rsidRPr="00E66F86" w:rsidRDefault="009B21FD" w:rsidP="00D97A8B">
            <w:pPr>
              <w:autoSpaceDE w:val="0"/>
              <w:autoSpaceDN w:val="0"/>
              <w:adjustRightInd w:val="0"/>
              <w:rPr>
                <w:rFonts w:eastAsia="Calibri"/>
              </w:rPr>
            </w:pPr>
            <w:r w:rsidRPr="00E66F86">
              <w:rPr>
                <w:lang w:bidi="en-US"/>
              </w:rPr>
              <w:t>Over or equal</w:t>
            </w:r>
          </w:p>
          <w:p w:rsidR="009B21FD" w:rsidRPr="00E66F86" w:rsidRDefault="009B21FD" w:rsidP="00D97A8B">
            <w:pPr>
              <w:rPr>
                <w:rFonts w:eastAsia="Calibri"/>
              </w:rPr>
            </w:pPr>
            <w:r w:rsidRPr="00E66F86">
              <w:rPr>
                <w:lang w:bidi="en-US"/>
              </w:rPr>
              <w:t>to Euro 50,000,000</w:t>
            </w:r>
          </w:p>
        </w:tc>
        <w:tc>
          <w:tcPr>
            <w:tcW w:w="602" w:type="pct"/>
            <w:shd w:val="clear" w:color="auto" w:fill="auto"/>
          </w:tcPr>
          <w:p w:rsidR="009B21FD" w:rsidRPr="00E66F86" w:rsidRDefault="009B21FD" w:rsidP="00D97A8B">
            <w:pPr>
              <w:rPr>
                <w:rFonts w:eastAsia="Calibri"/>
              </w:rPr>
            </w:pPr>
            <w:r w:rsidRPr="00E66F86">
              <w:rPr>
                <w:lang w:bidi="en-US"/>
              </w:rPr>
              <w:t>Endorses</w:t>
            </w:r>
          </w:p>
        </w:tc>
        <w:tc>
          <w:tcPr>
            <w:tcW w:w="863" w:type="pct"/>
            <w:shd w:val="clear" w:color="auto" w:fill="auto"/>
          </w:tcPr>
          <w:p w:rsidR="009B21FD" w:rsidRPr="00E66F86" w:rsidRDefault="009B21FD" w:rsidP="00D97A8B">
            <w:pPr>
              <w:rPr>
                <w:rFonts w:eastAsia="Calibri"/>
              </w:rPr>
            </w:pPr>
            <w:r w:rsidRPr="00E66F86">
              <w:rPr>
                <w:lang w:bidi="en-US"/>
              </w:rPr>
              <w:t>Endorses</w:t>
            </w:r>
          </w:p>
        </w:tc>
        <w:tc>
          <w:tcPr>
            <w:tcW w:w="777" w:type="pct"/>
            <w:shd w:val="clear" w:color="auto" w:fill="auto"/>
          </w:tcPr>
          <w:p w:rsidR="009B21FD" w:rsidRPr="00E66F86" w:rsidRDefault="009B21FD" w:rsidP="00D97A8B">
            <w:pPr>
              <w:rPr>
                <w:rFonts w:eastAsia="Calibri"/>
              </w:rPr>
            </w:pPr>
            <w:r w:rsidRPr="00E66F86">
              <w:rPr>
                <w:lang w:bidi="en-US"/>
              </w:rPr>
              <w:t>Approves</w:t>
            </w:r>
          </w:p>
        </w:tc>
      </w:tr>
      <w:tr w:rsidR="009B21FD" w:rsidRPr="00E66F86" w:rsidTr="00D97A8B">
        <w:tc>
          <w:tcPr>
            <w:tcW w:w="176" w:type="pct"/>
            <w:vMerge w:val="restart"/>
            <w:shd w:val="clear" w:color="auto" w:fill="auto"/>
          </w:tcPr>
          <w:p w:rsidR="009B21FD" w:rsidRPr="00E66F86" w:rsidRDefault="009B21FD" w:rsidP="00D97A8B">
            <w:pPr>
              <w:rPr>
                <w:rFonts w:eastAsia="Calibri"/>
              </w:rPr>
            </w:pPr>
            <w:r w:rsidRPr="00E66F86">
              <w:rPr>
                <w:lang w:bidi="en-US"/>
              </w:rPr>
              <w:t>5</w:t>
            </w:r>
          </w:p>
        </w:tc>
        <w:tc>
          <w:tcPr>
            <w:tcW w:w="1174" w:type="pct"/>
            <w:vMerge w:val="restart"/>
            <w:shd w:val="clear" w:color="auto" w:fill="auto"/>
          </w:tcPr>
          <w:p w:rsidR="009B21FD" w:rsidRPr="00E66F86" w:rsidRDefault="009B21FD" w:rsidP="00D97A8B">
            <w:pPr>
              <w:rPr>
                <w:rFonts w:eastAsia="Calibri"/>
              </w:rPr>
            </w:pPr>
            <w:r w:rsidRPr="00E66F86">
              <w:rPr>
                <w:lang w:bidi="en-US"/>
              </w:rPr>
              <w:t>Guarantees for loans</w:t>
            </w:r>
          </w:p>
        </w:tc>
        <w:tc>
          <w:tcPr>
            <w:tcW w:w="1409" w:type="pct"/>
            <w:shd w:val="clear" w:color="auto" w:fill="auto"/>
          </w:tcPr>
          <w:p w:rsidR="009B21FD" w:rsidRPr="00E66F86" w:rsidRDefault="009B21FD" w:rsidP="00D97A8B">
            <w:pPr>
              <w:autoSpaceDE w:val="0"/>
              <w:autoSpaceDN w:val="0"/>
              <w:adjustRightInd w:val="0"/>
              <w:rPr>
                <w:rFonts w:eastAsia="Calibri"/>
              </w:rPr>
            </w:pPr>
            <w:r w:rsidRPr="00E66F86">
              <w:rPr>
                <w:lang w:bidi="en-US"/>
              </w:rPr>
              <w:t>Less than</w:t>
            </w:r>
          </w:p>
          <w:p w:rsidR="009B21FD" w:rsidRPr="00E66F86" w:rsidRDefault="009B21FD" w:rsidP="00D97A8B">
            <w:pPr>
              <w:rPr>
                <w:rFonts w:eastAsia="Calibri"/>
              </w:rPr>
            </w:pPr>
            <w:r w:rsidRPr="00E66F86">
              <w:rPr>
                <w:lang w:bidi="en-US"/>
              </w:rPr>
              <w:t>Euro 50,000,000</w:t>
            </w:r>
          </w:p>
        </w:tc>
        <w:tc>
          <w:tcPr>
            <w:tcW w:w="602" w:type="pct"/>
            <w:shd w:val="clear" w:color="auto" w:fill="auto"/>
          </w:tcPr>
          <w:p w:rsidR="009B21FD" w:rsidRPr="00E66F86" w:rsidRDefault="009B21FD" w:rsidP="00D97A8B">
            <w:pPr>
              <w:rPr>
                <w:rFonts w:eastAsia="Calibri"/>
              </w:rPr>
            </w:pPr>
            <w:r w:rsidRPr="00E66F86">
              <w:rPr>
                <w:lang w:bidi="en-US"/>
              </w:rPr>
              <w:t>Endorses</w:t>
            </w:r>
          </w:p>
        </w:tc>
        <w:tc>
          <w:tcPr>
            <w:tcW w:w="863" w:type="pct"/>
            <w:shd w:val="clear" w:color="auto" w:fill="auto"/>
          </w:tcPr>
          <w:p w:rsidR="009B21FD" w:rsidRPr="00E66F86" w:rsidRDefault="009B21FD" w:rsidP="00D97A8B">
            <w:pPr>
              <w:rPr>
                <w:rFonts w:eastAsia="Calibri"/>
              </w:rPr>
            </w:pPr>
            <w:r w:rsidRPr="00E66F86">
              <w:rPr>
                <w:lang w:bidi="en-US"/>
              </w:rPr>
              <w:t>Approves</w:t>
            </w:r>
          </w:p>
        </w:tc>
        <w:tc>
          <w:tcPr>
            <w:tcW w:w="777" w:type="pct"/>
            <w:shd w:val="clear" w:color="auto" w:fill="auto"/>
          </w:tcPr>
          <w:p w:rsidR="009B21FD" w:rsidRPr="00E66F86" w:rsidRDefault="009B21FD" w:rsidP="00D97A8B">
            <w:pPr>
              <w:rPr>
                <w:rFonts w:eastAsia="Calibri"/>
              </w:rPr>
            </w:pPr>
            <w:r w:rsidRPr="00E66F86">
              <w:rPr>
                <w:lang w:bidi="en-US"/>
              </w:rPr>
              <w:t>Is informed</w:t>
            </w:r>
          </w:p>
        </w:tc>
      </w:tr>
      <w:tr w:rsidR="009B21FD" w:rsidRPr="00E66F86" w:rsidTr="00D97A8B">
        <w:tc>
          <w:tcPr>
            <w:tcW w:w="176" w:type="pct"/>
            <w:vMerge/>
            <w:shd w:val="clear" w:color="auto" w:fill="auto"/>
          </w:tcPr>
          <w:p w:rsidR="009B21FD" w:rsidRPr="00E66F86" w:rsidRDefault="009B21FD" w:rsidP="00D97A8B">
            <w:pPr>
              <w:rPr>
                <w:rFonts w:eastAsia="Calibri"/>
              </w:rPr>
            </w:pPr>
          </w:p>
        </w:tc>
        <w:tc>
          <w:tcPr>
            <w:tcW w:w="1174" w:type="pct"/>
            <w:vMerge/>
            <w:shd w:val="clear" w:color="auto" w:fill="auto"/>
          </w:tcPr>
          <w:p w:rsidR="009B21FD" w:rsidRPr="00E66F86" w:rsidRDefault="009B21FD" w:rsidP="00D97A8B">
            <w:pPr>
              <w:rPr>
                <w:rFonts w:eastAsia="Calibri"/>
              </w:rPr>
            </w:pPr>
          </w:p>
        </w:tc>
        <w:tc>
          <w:tcPr>
            <w:tcW w:w="1409" w:type="pct"/>
            <w:shd w:val="clear" w:color="auto" w:fill="auto"/>
          </w:tcPr>
          <w:p w:rsidR="009B21FD" w:rsidRPr="00E66F86" w:rsidRDefault="009B21FD" w:rsidP="00D97A8B">
            <w:pPr>
              <w:autoSpaceDE w:val="0"/>
              <w:autoSpaceDN w:val="0"/>
              <w:adjustRightInd w:val="0"/>
              <w:rPr>
                <w:rFonts w:eastAsia="Calibri"/>
              </w:rPr>
            </w:pPr>
            <w:r w:rsidRPr="00E66F86">
              <w:rPr>
                <w:lang w:bidi="en-US"/>
              </w:rPr>
              <w:t>Over or equal</w:t>
            </w:r>
          </w:p>
          <w:p w:rsidR="009B21FD" w:rsidRPr="00E66F86" w:rsidRDefault="009B21FD" w:rsidP="00D97A8B">
            <w:pPr>
              <w:rPr>
                <w:rFonts w:eastAsia="Calibri"/>
              </w:rPr>
            </w:pPr>
            <w:r w:rsidRPr="00E66F86">
              <w:rPr>
                <w:lang w:bidi="en-US"/>
              </w:rPr>
              <w:t>to Euro 50,000,000</w:t>
            </w:r>
          </w:p>
        </w:tc>
        <w:tc>
          <w:tcPr>
            <w:tcW w:w="602" w:type="pct"/>
            <w:shd w:val="clear" w:color="auto" w:fill="auto"/>
          </w:tcPr>
          <w:p w:rsidR="009B21FD" w:rsidRPr="00E66F86" w:rsidRDefault="009B21FD" w:rsidP="00D97A8B">
            <w:pPr>
              <w:rPr>
                <w:rFonts w:eastAsia="Calibri"/>
              </w:rPr>
            </w:pPr>
            <w:r w:rsidRPr="00E66F86">
              <w:rPr>
                <w:lang w:bidi="en-US"/>
              </w:rPr>
              <w:t>Endorses</w:t>
            </w:r>
          </w:p>
        </w:tc>
        <w:tc>
          <w:tcPr>
            <w:tcW w:w="863" w:type="pct"/>
            <w:shd w:val="clear" w:color="auto" w:fill="auto"/>
          </w:tcPr>
          <w:p w:rsidR="009B21FD" w:rsidRPr="00E66F86" w:rsidRDefault="009B21FD" w:rsidP="00D97A8B">
            <w:pPr>
              <w:rPr>
                <w:rFonts w:eastAsia="Calibri"/>
              </w:rPr>
            </w:pPr>
            <w:r w:rsidRPr="00E66F86">
              <w:rPr>
                <w:lang w:bidi="en-US"/>
              </w:rPr>
              <w:t>Endorses</w:t>
            </w:r>
          </w:p>
        </w:tc>
        <w:tc>
          <w:tcPr>
            <w:tcW w:w="777" w:type="pct"/>
            <w:shd w:val="clear" w:color="auto" w:fill="auto"/>
          </w:tcPr>
          <w:p w:rsidR="009B21FD" w:rsidRPr="00E66F86" w:rsidRDefault="009B21FD" w:rsidP="00D97A8B">
            <w:pPr>
              <w:rPr>
                <w:rFonts w:eastAsia="Calibri"/>
              </w:rPr>
            </w:pPr>
            <w:r w:rsidRPr="00E66F86">
              <w:rPr>
                <w:lang w:bidi="en-US"/>
              </w:rPr>
              <w:t>Approves</w:t>
            </w:r>
          </w:p>
        </w:tc>
      </w:tr>
    </w:tbl>
    <w:p w:rsidR="009B21FD" w:rsidRPr="00E66F86" w:rsidRDefault="009B21FD" w:rsidP="009B21FD">
      <w:pPr>
        <w:jc w:val="both"/>
        <w:rPr>
          <w:rFonts w:eastAsia="MS Mincho"/>
          <w:i/>
          <w:iCs/>
        </w:rPr>
      </w:pPr>
      <w:r w:rsidRPr="00E66F86">
        <w:rPr>
          <w:i/>
          <w:lang w:bidi="en-US"/>
        </w:rPr>
        <w:lastRenderedPageBreak/>
        <w:t>(*) the term "Manager" means the person who has been delegated management duties regarding the company by means of a resolution of the Board of Directors and who concludes a mandate contract with the Company, in compliance with the applicable legal provisions.</w:t>
      </w:r>
    </w:p>
    <w:p w:rsidR="009B21FD" w:rsidRPr="00E66F86" w:rsidRDefault="009B21FD" w:rsidP="009B21FD">
      <w:pPr>
        <w:rPr>
          <w:bCs/>
          <w:lang w:val="ro-RO"/>
        </w:rPr>
      </w:pPr>
    </w:p>
    <w:p w:rsidR="009B21FD" w:rsidRPr="00E66F86" w:rsidRDefault="009B21FD" w:rsidP="009B21FD">
      <w:pPr>
        <w:jc w:val="both"/>
        <w:rPr>
          <w:color w:val="C00000"/>
          <w:lang w:val="ro-RO"/>
        </w:rPr>
      </w:pPr>
    </w:p>
    <w:p w:rsidR="0078622E" w:rsidRDefault="009B21FD" w:rsidP="0078622E">
      <w:pPr>
        <w:widowControl w:val="0"/>
        <w:autoSpaceDE w:val="0"/>
        <w:autoSpaceDN w:val="0"/>
        <w:adjustRightInd w:val="0"/>
        <w:ind w:left="720" w:firstLine="720"/>
        <w:rPr>
          <w:b/>
          <w:bCs/>
        </w:rPr>
      </w:pPr>
      <w:r w:rsidRPr="00E66F86">
        <w:rPr>
          <w:b/>
          <w:lang w:bidi="en-US"/>
        </w:rPr>
        <w:t>CHAIRMAN OF THE BOARD OF DIRECTORS</w:t>
      </w:r>
    </w:p>
    <w:p w:rsidR="004E0508" w:rsidRPr="0078622E" w:rsidRDefault="009B21FD" w:rsidP="0078622E">
      <w:pPr>
        <w:widowControl w:val="0"/>
        <w:autoSpaceDE w:val="0"/>
        <w:autoSpaceDN w:val="0"/>
        <w:adjustRightInd w:val="0"/>
        <w:ind w:left="720" w:firstLine="720"/>
        <w:rPr>
          <w:b/>
          <w:bCs/>
        </w:rPr>
      </w:pPr>
      <w:r w:rsidRPr="00E66F86">
        <w:rPr>
          <w:b/>
          <w:lang w:bidi="en-US"/>
        </w:rPr>
        <w:t>IULIAN-ROBERT TUDORACHE</w:t>
      </w:r>
      <w:r>
        <w:rPr>
          <w:rFonts w:ascii="Times New Roman" w:hAnsi="Times New Roman" w:cs="Times New Roman"/>
          <w:sz w:val="24"/>
          <w:szCs w:val="24"/>
        </w:rPr>
        <w:t xml:space="preserve"> </w:t>
      </w:r>
    </w:p>
    <w:sectPr w:rsidR="004E0508" w:rsidRPr="0078622E" w:rsidSect="002F2740">
      <w:headerReference w:type="default" r:id="rId7"/>
      <w:footerReference w:type="default" r:id="rId8"/>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CF0" w:rsidRDefault="00161CF0" w:rsidP="003E1172">
      <w:pPr>
        <w:spacing w:after="0" w:line="240" w:lineRule="auto"/>
      </w:pPr>
      <w:r>
        <w:separator/>
      </w:r>
    </w:p>
  </w:endnote>
  <w:endnote w:type="continuationSeparator" w:id="0">
    <w:p w:rsidR="00161CF0" w:rsidRDefault="00161CF0"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R">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72" w:rsidRDefault="003E1172" w:rsidP="003E1172">
    <w:pPr>
      <w:pStyle w:val="Default"/>
    </w:pPr>
  </w:p>
  <w:p w:rsidR="00024FF0" w:rsidRDefault="00024FF0" w:rsidP="00024FF0">
    <w:pPr>
      <w:pStyle w:val="Footer"/>
      <w:rPr>
        <w:rFonts w:ascii="MyriadProROM_REGULAR" w:hAnsi="MyriadProROM_REGULAR"/>
        <w:b/>
        <w:color w:val="333333"/>
        <w:sz w:val="18"/>
        <w:szCs w:val="18"/>
        <w:lang w:val="it-IT"/>
      </w:rPr>
    </w:pP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024FF0" w:rsidRPr="00BA7842" w:rsidRDefault="00024FF0" w:rsidP="00024FF0">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024FF0" w:rsidRPr="00963523" w:rsidRDefault="00024FF0" w:rsidP="00024FF0">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w:t>
    </w:r>
    <w:r w:rsidR="00356386">
      <w:rPr>
        <w:rFonts w:ascii="MyriadProROM_REGULAR" w:hAnsi="MyriadProROM_REGULAR"/>
        <w:color w:val="333333"/>
        <w:sz w:val="18"/>
        <w:szCs w:val="18"/>
        <w:lang w:val="fr-FR"/>
      </w:rPr>
      <w:t>id</w:t>
    </w:r>
    <w:proofErr w:type="spellEnd"/>
    <w:r w:rsidR="00356386">
      <w:rPr>
        <w:rFonts w:ascii="MyriadProROM_REGULAR" w:hAnsi="MyriadProROM_REGULAR"/>
        <w:color w:val="333333"/>
        <w:sz w:val="18"/>
        <w:szCs w:val="18"/>
        <w:lang w:val="fr-FR"/>
      </w:rPr>
      <w:t xml:space="preserve"> and </w:t>
    </w:r>
    <w:proofErr w:type="spellStart"/>
    <w:r w:rsidR="00356386">
      <w:rPr>
        <w:rFonts w:ascii="MyriadProROM_REGULAR" w:hAnsi="MyriadProROM_REGULAR"/>
        <w:color w:val="333333"/>
        <w:sz w:val="18"/>
        <w:szCs w:val="18"/>
        <w:lang w:val="fr-FR"/>
      </w:rPr>
      <w:t>subscribed</w:t>
    </w:r>
    <w:proofErr w:type="spellEnd"/>
    <w:r w:rsidR="00356386">
      <w:rPr>
        <w:rFonts w:ascii="MyriadProROM_REGULAR" w:hAnsi="MyriadProROM_REGULAR"/>
        <w:color w:val="333333"/>
        <w:sz w:val="18"/>
        <w:szCs w:val="18"/>
        <w:lang w:val="fr-FR"/>
      </w:rPr>
      <w:t xml:space="preserve"> capital: 3.015.138.5</w:t>
    </w:r>
    <w:r>
      <w:rPr>
        <w:rFonts w:ascii="MyriadProROM_REGULAR" w:hAnsi="MyriadProROM_REGULAR"/>
        <w:color w:val="333333"/>
        <w:sz w:val="18"/>
        <w:szCs w:val="18"/>
        <w:lang w:val="fr-FR"/>
      </w:rPr>
      <w:t>10</w:t>
    </w:r>
    <w:r w:rsidRPr="00963523">
      <w:rPr>
        <w:rFonts w:ascii="MyriadProROM_REGULAR" w:hAnsi="MyriadProROM_REGULAR"/>
        <w:color w:val="333333"/>
        <w:sz w:val="18"/>
        <w:szCs w:val="18"/>
        <w:lang w:val="fr-FR"/>
      </w:rPr>
      <w:t xml:space="preserve"> lei</w:t>
    </w:r>
  </w:p>
  <w:p w:rsidR="00024FF0" w:rsidRPr="00281A94" w:rsidRDefault="00B067BC" w:rsidP="00024FF0">
    <w:pPr>
      <w:pStyle w:val="Footer"/>
      <w:jc w:val="center"/>
      <w:rPr>
        <w:rFonts w:ascii="MyriadProROM_REGULAR" w:hAnsi="MyriadProROM_REGULAR"/>
        <w:color w:val="333333"/>
        <w:sz w:val="18"/>
        <w:szCs w:val="18"/>
        <w:lang w:val="it-IT"/>
      </w:rPr>
    </w:pPr>
    <w:hyperlink r:id="rId1" w:history="1">
      <w:r w:rsidR="00024FF0" w:rsidRPr="00963523">
        <w:rPr>
          <w:rStyle w:val="Hyperlink"/>
          <w:rFonts w:ascii="MyriadProROM_REGULAR" w:hAnsi="MyriadProROM_REGULAR"/>
          <w:sz w:val="18"/>
          <w:szCs w:val="18"/>
          <w:lang w:val="it-IT"/>
        </w:rPr>
        <w:t>office@nuclearelectrica.ro</w:t>
      </w:r>
    </w:hyperlink>
    <w:r w:rsidR="00024FF0">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CF0" w:rsidRDefault="00161CF0" w:rsidP="003E1172">
      <w:pPr>
        <w:spacing w:after="0" w:line="240" w:lineRule="auto"/>
      </w:pPr>
      <w:r>
        <w:separator/>
      </w:r>
    </w:p>
  </w:footnote>
  <w:footnote w:type="continuationSeparator" w:id="0">
    <w:p w:rsidR="00161CF0" w:rsidRDefault="00161CF0" w:rsidP="003E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72" w:rsidRDefault="003E1172" w:rsidP="003E1172">
    <w:pPr>
      <w:pStyle w:val="Header"/>
      <w:jc w:val="center"/>
    </w:pPr>
    <w:r w:rsidRPr="003E1172">
      <w:rPr>
        <w:noProof/>
      </w:rPr>
      <w:drawing>
        <wp:inline distT="0" distB="0" distL="0" distR="0">
          <wp:extent cx="1524000" cy="1000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A4E4C"/>
    <w:multiLevelType w:val="multilevel"/>
    <w:tmpl w:val="39724E58"/>
    <w:lvl w:ilvl="0">
      <w:start w:val="1"/>
      <w:numFmt w:val="decimal"/>
      <w:lvlText w:val="%1."/>
      <w:lvlJc w:val="left"/>
      <w:pPr>
        <w:ind w:left="393" w:hanging="360"/>
      </w:pPr>
      <w:rPr>
        <w:rFonts w:hint="default"/>
        <w:b/>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 w15:restartNumberingAfterBreak="0">
    <w:nsid w:val="17AE2A94"/>
    <w:multiLevelType w:val="hybridMultilevel"/>
    <w:tmpl w:val="2FE2506A"/>
    <w:lvl w:ilvl="0" w:tplc="E868629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175ADF"/>
    <w:multiLevelType w:val="hybridMultilevel"/>
    <w:tmpl w:val="0C8484E8"/>
    <w:lvl w:ilvl="0" w:tplc="BFC0B8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C728E"/>
    <w:multiLevelType w:val="hybridMultilevel"/>
    <w:tmpl w:val="3140BB4E"/>
    <w:lvl w:ilvl="0" w:tplc="EE8035D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44C93"/>
    <w:multiLevelType w:val="hybridMultilevel"/>
    <w:tmpl w:val="7D1AD304"/>
    <w:lvl w:ilvl="0" w:tplc="E9D2BE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DF27D9"/>
    <w:multiLevelType w:val="hybridMultilevel"/>
    <w:tmpl w:val="C2B4FEA0"/>
    <w:lvl w:ilvl="0" w:tplc="0A5E072C">
      <w:start w:val="5"/>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14B35"/>
    <w:multiLevelType w:val="hybridMultilevel"/>
    <w:tmpl w:val="D270A4BE"/>
    <w:lvl w:ilvl="0" w:tplc="5CCEC178">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2" w15:restartNumberingAfterBreak="0">
    <w:nsid w:val="5DEA30E6"/>
    <w:multiLevelType w:val="hybridMultilevel"/>
    <w:tmpl w:val="C722E4B0"/>
    <w:lvl w:ilvl="0" w:tplc="55BEB3E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14"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1"/>
  </w:num>
  <w:num w:numId="6">
    <w:abstractNumId w:val="12"/>
  </w:num>
  <w:num w:numId="7">
    <w:abstractNumId w:val="13"/>
  </w:num>
  <w:num w:numId="8">
    <w:abstractNumId w:val="3"/>
  </w:num>
  <w:num w:numId="9">
    <w:abstractNumId w:val="11"/>
  </w:num>
  <w:num w:numId="10">
    <w:abstractNumId w:val="5"/>
  </w:num>
  <w:num w:numId="11">
    <w:abstractNumId w:val="9"/>
  </w:num>
  <w:num w:numId="12">
    <w:abstractNumId w:val="10"/>
  </w:num>
  <w:num w:numId="13">
    <w:abstractNumId w:val="14"/>
  </w:num>
  <w:num w:numId="14">
    <w:abstractNumId w:val="0"/>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0590B"/>
    <w:rsid w:val="00024FF0"/>
    <w:rsid w:val="00046961"/>
    <w:rsid w:val="0005117E"/>
    <w:rsid w:val="000807D8"/>
    <w:rsid w:val="000A1E6E"/>
    <w:rsid w:val="000B60A9"/>
    <w:rsid w:val="000C76C6"/>
    <w:rsid w:val="000E2931"/>
    <w:rsid w:val="00105011"/>
    <w:rsid w:val="00112037"/>
    <w:rsid w:val="00161CF0"/>
    <w:rsid w:val="00186F58"/>
    <w:rsid w:val="001C68A1"/>
    <w:rsid w:val="001D1B20"/>
    <w:rsid w:val="001D3AA3"/>
    <w:rsid w:val="0020136E"/>
    <w:rsid w:val="00280FF2"/>
    <w:rsid w:val="00296AB5"/>
    <w:rsid w:val="00296F0D"/>
    <w:rsid w:val="002977B2"/>
    <w:rsid w:val="002B2476"/>
    <w:rsid w:val="002F2740"/>
    <w:rsid w:val="002F6243"/>
    <w:rsid w:val="0030305D"/>
    <w:rsid w:val="00326BFC"/>
    <w:rsid w:val="00331667"/>
    <w:rsid w:val="00337CC7"/>
    <w:rsid w:val="0034629E"/>
    <w:rsid w:val="003518F6"/>
    <w:rsid w:val="00355555"/>
    <w:rsid w:val="00356386"/>
    <w:rsid w:val="003666CF"/>
    <w:rsid w:val="00383198"/>
    <w:rsid w:val="00387F81"/>
    <w:rsid w:val="003C6510"/>
    <w:rsid w:val="003C7EB5"/>
    <w:rsid w:val="003E1172"/>
    <w:rsid w:val="003F2514"/>
    <w:rsid w:val="00400290"/>
    <w:rsid w:val="0044301D"/>
    <w:rsid w:val="00444794"/>
    <w:rsid w:val="00466386"/>
    <w:rsid w:val="00471572"/>
    <w:rsid w:val="004D4403"/>
    <w:rsid w:val="004E0508"/>
    <w:rsid w:val="004F5485"/>
    <w:rsid w:val="00526D41"/>
    <w:rsid w:val="00542482"/>
    <w:rsid w:val="00547B7D"/>
    <w:rsid w:val="00572666"/>
    <w:rsid w:val="0059750B"/>
    <w:rsid w:val="00602C20"/>
    <w:rsid w:val="006117AB"/>
    <w:rsid w:val="0061495C"/>
    <w:rsid w:val="006263F3"/>
    <w:rsid w:val="00661284"/>
    <w:rsid w:val="00674260"/>
    <w:rsid w:val="0068330D"/>
    <w:rsid w:val="0068760F"/>
    <w:rsid w:val="006A6673"/>
    <w:rsid w:val="006B3290"/>
    <w:rsid w:val="006B3D32"/>
    <w:rsid w:val="006D7953"/>
    <w:rsid w:val="006F2604"/>
    <w:rsid w:val="00713AEA"/>
    <w:rsid w:val="0074310B"/>
    <w:rsid w:val="00745889"/>
    <w:rsid w:val="00774B40"/>
    <w:rsid w:val="00777BD4"/>
    <w:rsid w:val="0078622E"/>
    <w:rsid w:val="00793080"/>
    <w:rsid w:val="007A3CE8"/>
    <w:rsid w:val="007D2082"/>
    <w:rsid w:val="007D6B5F"/>
    <w:rsid w:val="007E70F7"/>
    <w:rsid w:val="008023A2"/>
    <w:rsid w:val="00850EDD"/>
    <w:rsid w:val="00856E81"/>
    <w:rsid w:val="008C11E0"/>
    <w:rsid w:val="008D5D3B"/>
    <w:rsid w:val="009056DF"/>
    <w:rsid w:val="00931DEB"/>
    <w:rsid w:val="009347F9"/>
    <w:rsid w:val="00947021"/>
    <w:rsid w:val="00950B3C"/>
    <w:rsid w:val="009B21FD"/>
    <w:rsid w:val="009C2832"/>
    <w:rsid w:val="009D26EE"/>
    <w:rsid w:val="00A02649"/>
    <w:rsid w:val="00A13352"/>
    <w:rsid w:val="00A21B35"/>
    <w:rsid w:val="00A45914"/>
    <w:rsid w:val="00A54BDA"/>
    <w:rsid w:val="00A56C99"/>
    <w:rsid w:val="00A65AD4"/>
    <w:rsid w:val="00A82E54"/>
    <w:rsid w:val="00AC4240"/>
    <w:rsid w:val="00AE6DDE"/>
    <w:rsid w:val="00B018A7"/>
    <w:rsid w:val="00B034FB"/>
    <w:rsid w:val="00B067BC"/>
    <w:rsid w:val="00B35A93"/>
    <w:rsid w:val="00B43FA0"/>
    <w:rsid w:val="00B45C5E"/>
    <w:rsid w:val="00B56678"/>
    <w:rsid w:val="00B727A9"/>
    <w:rsid w:val="00B93A44"/>
    <w:rsid w:val="00BF0FBE"/>
    <w:rsid w:val="00C01DB5"/>
    <w:rsid w:val="00C41CE9"/>
    <w:rsid w:val="00CB7E7B"/>
    <w:rsid w:val="00CC51A8"/>
    <w:rsid w:val="00D2094E"/>
    <w:rsid w:val="00D5436D"/>
    <w:rsid w:val="00D70286"/>
    <w:rsid w:val="00D70FD0"/>
    <w:rsid w:val="00D77FB6"/>
    <w:rsid w:val="00D84674"/>
    <w:rsid w:val="00DC766F"/>
    <w:rsid w:val="00DE2EFB"/>
    <w:rsid w:val="00E05561"/>
    <w:rsid w:val="00E14EBC"/>
    <w:rsid w:val="00E370F2"/>
    <w:rsid w:val="00E40F56"/>
    <w:rsid w:val="00E50F40"/>
    <w:rsid w:val="00EA131C"/>
    <w:rsid w:val="00EB51DC"/>
    <w:rsid w:val="00EC0D65"/>
    <w:rsid w:val="00EC1A03"/>
    <w:rsid w:val="00ED72BD"/>
    <w:rsid w:val="00ED7BC6"/>
    <w:rsid w:val="00F170F4"/>
    <w:rsid w:val="00F6032B"/>
    <w:rsid w:val="00F64E1A"/>
    <w:rsid w:val="00F66200"/>
    <w:rsid w:val="00F800C9"/>
    <w:rsid w:val="00F80241"/>
    <w:rsid w:val="00FC0973"/>
    <w:rsid w:val="00FD0A87"/>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D5F17-0D2E-40B5-80E2-E1F8D152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F2"/>
  </w:style>
  <w:style w:type="paragraph" w:styleId="Heading2">
    <w:name w:val="heading 2"/>
    <w:basedOn w:val="Normal"/>
    <w:next w:val="Normal"/>
    <w:link w:val="Heading2Char"/>
    <w:qFormat/>
    <w:rsid w:val="004E0508"/>
    <w:pPr>
      <w:keepNext/>
      <w:spacing w:after="0" w:line="240" w:lineRule="auto"/>
      <w:jc w:val="center"/>
      <w:outlineLvl w:val="1"/>
    </w:pPr>
    <w:rPr>
      <w:rFonts w:ascii="TimesRomanR" w:eastAsia="Times New Roman" w:hAnsi="TimesRomanR" w:cs="Times New Roman"/>
      <w:b/>
      <w:sz w:val="24"/>
      <w:szCs w:val="20"/>
      <w:lang w:val="en-AU"/>
    </w:rPr>
  </w:style>
  <w:style w:type="paragraph" w:styleId="Heading3">
    <w:name w:val="heading 3"/>
    <w:basedOn w:val="Normal"/>
    <w:next w:val="Normal"/>
    <w:link w:val="Heading3Char"/>
    <w:qFormat/>
    <w:rsid w:val="004E050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E1172"/>
    <w:rPr>
      <w:rFonts w:ascii="Tahoma" w:hAnsi="Tahoma" w:cs="Tahoma"/>
      <w:sz w:val="16"/>
      <w:szCs w:val="16"/>
    </w:rPr>
  </w:style>
  <w:style w:type="paragraph" w:styleId="Header">
    <w:name w:val="header"/>
    <w:basedOn w:val="Normal"/>
    <w:link w:val="HeaderChar"/>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rsid w:val="003E1172"/>
  </w:style>
  <w:style w:type="paragraph" w:styleId="Footer">
    <w:name w:val="footer"/>
    <w:basedOn w:val="Normal"/>
    <w:link w:val="FooterChar"/>
    <w:uiPriority w:val="99"/>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character" w:styleId="Hyperlink">
    <w:name w:val="Hyperlink"/>
    <w:uiPriority w:val="99"/>
    <w:rsid w:val="00024FF0"/>
    <w:rPr>
      <w:color w:val="0000FF"/>
      <w:u w:val="single"/>
    </w:rPr>
  </w:style>
  <w:style w:type="character" w:customStyle="1" w:styleId="Heading2Char">
    <w:name w:val="Heading 2 Char"/>
    <w:basedOn w:val="DefaultParagraphFont"/>
    <w:link w:val="Heading2"/>
    <w:rsid w:val="004E0508"/>
    <w:rPr>
      <w:rFonts w:ascii="TimesRomanR" w:eastAsia="Times New Roman" w:hAnsi="TimesRomanR" w:cs="Times New Roman"/>
      <w:b/>
      <w:sz w:val="24"/>
      <w:szCs w:val="20"/>
      <w:lang w:val="en-AU"/>
    </w:rPr>
  </w:style>
  <w:style w:type="character" w:customStyle="1" w:styleId="Heading3Char">
    <w:name w:val="Heading 3 Char"/>
    <w:basedOn w:val="DefaultParagraphFont"/>
    <w:link w:val="Heading3"/>
    <w:rsid w:val="004E0508"/>
    <w:rPr>
      <w:rFonts w:ascii="Arial" w:eastAsia="Times New Roman" w:hAnsi="Arial" w:cs="Arial"/>
      <w:b/>
      <w:bCs/>
      <w:sz w:val="26"/>
      <w:szCs w:val="26"/>
    </w:rPr>
  </w:style>
  <w:style w:type="numbering" w:customStyle="1" w:styleId="NoList1">
    <w:name w:val="No List1"/>
    <w:next w:val="NoList"/>
    <w:uiPriority w:val="99"/>
    <w:semiHidden/>
    <w:unhideWhenUsed/>
    <w:rsid w:val="004E0508"/>
  </w:style>
  <w:style w:type="character" w:customStyle="1" w:styleId="text12inchis">
    <w:name w:val="text_12_inchis"/>
    <w:basedOn w:val="DefaultParagraphFont"/>
    <w:rsid w:val="004E0508"/>
  </w:style>
  <w:style w:type="character" w:styleId="CommentReference">
    <w:name w:val="annotation reference"/>
    <w:basedOn w:val="DefaultParagraphFont"/>
    <w:semiHidden/>
    <w:rsid w:val="004E0508"/>
    <w:rPr>
      <w:sz w:val="16"/>
      <w:szCs w:val="16"/>
    </w:rPr>
  </w:style>
  <w:style w:type="paragraph" w:styleId="CommentText">
    <w:name w:val="annotation text"/>
    <w:basedOn w:val="Normal"/>
    <w:link w:val="CommentTextChar"/>
    <w:semiHidden/>
    <w:rsid w:val="004E05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E05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E0508"/>
    <w:rPr>
      <w:b/>
      <w:bCs/>
    </w:rPr>
  </w:style>
  <w:style w:type="character" w:customStyle="1" w:styleId="CommentSubjectChar">
    <w:name w:val="Comment Subject Char"/>
    <w:basedOn w:val="CommentTextChar"/>
    <w:link w:val="CommentSubject"/>
    <w:semiHidden/>
    <w:rsid w:val="004E0508"/>
    <w:rPr>
      <w:rFonts w:ascii="Times New Roman" w:eastAsia="Times New Roman" w:hAnsi="Times New Roman" w:cs="Times New Roman"/>
      <w:b/>
      <w:bCs/>
      <w:sz w:val="20"/>
      <w:szCs w:val="20"/>
    </w:rPr>
  </w:style>
  <w:style w:type="character" w:customStyle="1" w:styleId="ln2tlitera">
    <w:name w:val="ln2tlitera"/>
    <w:basedOn w:val="DefaultParagraphFont"/>
    <w:rsid w:val="004E0508"/>
  </w:style>
  <w:style w:type="paragraph" w:customStyle="1" w:styleId="Revizuire">
    <w:name w:val="Revizuire"/>
    <w:hidden/>
    <w:uiPriority w:val="99"/>
    <w:semiHidden/>
    <w:rsid w:val="004E0508"/>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4E050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E0508"/>
    <w:rPr>
      <w:rFonts w:ascii="Times New Roman" w:eastAsia="Times New Roman" w:hAnsi="Times New Roman" w:cs="Times New Roman"/>
      <w:sz w:val="24"/>
      <w:szCs w:val="24"/>
    </w:rPr>
  </w:style>
  <w:style w:type="paragraph" w:styleId="BodyTextIndent">
    <w:name w:val="Body Text Indent"/>
    <w:basedOn w:val="Normal"/>
    <w:link w:val="BodyTextIndentChar"/>
    <w:rsid w:val="004E050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E0508"/>
    <w:rPr>
      <w:rFonts w:ascii="Times New Roman" w:eastAsia="Times New Roman" w:hAnsi="Times New Roman" w:cs="Times New Roman"/>
      <w:sz w:val="24"/>
      <w:szCs w:val="24"/>
    </w:rPr>
  </w:style>
  <w:style w:type="character" w:styleId="PageNumber">
    <w:name w:val="page number"/>
    <w:basedOn w:val="DefaultParagraphFont"/>
    <w:rsid w:val="004E0508"/>
  </w:style>
  <w:style w:type="paragraph" w:styleId="FootnoteText">
    <w:name w:val="footnote text"/>
    <w:basedOn w:val="Normal"/>
    <w:link w:val="FootnoteTextChar"/>
    <w:semiHidden/>
    <w:unhideWhenUsed/>
    <w:rsid w:val="004E0508"/>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4E0508"/>
    <w:rPr>
      <w:rFonts w:ascii="Calibri" w:eastAsia="Times New Roman" w:hAnsi="Calibri" w:cs="Times New Roman"/>
      <w:sz w:val="20"/>
      <w:szCs w:val="20"/>
    </w:rPr>
  </w:style>
  <w:style w:type="character" w:styleId="FootnoteReference">
    <w:name w:val="footnote reference"/>
    <w:basedOn w:val="DefaultParagraphFont"/>
    <w:semiHidden/>
    <w:unhideWhenUsed/>
    <w:rsid w:val="004E0508"/>
    <w:rPr>
      <w:vertAlign w:val="superscript"/>
    </w:rPr>
  </w:style>
  <w:style w:type="character" w:customStyle="1" w:styleId="li1">
    <w:name w:val="li1"/>
    <w:basedOn w:val="DefaultParagraphFont"/>
    <w:rsid w:val="004E0508"/>
    <w:rPr>
      <w:b/>
      <w:bCs/>
      <w:color w:val="8F0000"/>
    </w:rPr>
  </w:style>
  <w:style w:type="character" w:customStyle="1" w:styleId="tli1">
    <w:name w:val="tli1"/>
    <w:basedOn w:val="DefaultParagraphFont"/>
    <w:rsid w:val="004E0508"/>
  </w:style>
  <w:style w:type="character" w:customStyle="1" w:styleId="lia1">
    <w:name w:val="li_a1"/>
    <w:basedOn w:val="DefaultParagraphFont"/>
    <w:rsid w:val="004E0508"/>
    <w:rPr>
      <w:b/>
      <w:bCs/>
      <w:strike/>
      <w:color w:val="DC143C"/>
    </w:rPr>
  </w:style>
  <w:style w:type="character" w:customStyle="1" w:styleId="tlia1">
    <w:name w:val="tli_a1"/>
    <w:basedOn w:val="DefaultParagraphFont"/>
    <w:rsid w:val="004E0508"/>
    <w:rPr>
      <w:strike/>
      <w:color w:val="DC143C"/>
    </w:rPr>
  </w:style>
  <w:style w:type="character" w:customStyle="1" w:styleId="lego1">
    <w:name w:val="lego1"/>
    <w:basedOn w:val="DefaultParagraphFont"/>
    <w:rsid w:val="004E0508"/>
    <w:rPr>
      <w:b w:val="0"/>
      <w:bCs w:val="0"/>
      <w:i/>
      <w:iCs/>
      <w:vanish w:val="0"/>
      <w:webHidden w:val="0"/>
      <w:color w:val="6666FF"/>
      <w:sz w:val="18"/>
      <w:szCs w:val="18"/>
      <w:specVanish w:val="0"/>
    </w:rPr>
  </w:style>
  <w:style w:type="character" w:customStyle="1" w:styleId="FontStyle14">
    <w:name w:val="Font Style14"/>
    <w:uiPriority w:val="99"/>
    <w:rsid w:val="004E0508"/>
    <w:rPr>
      <w:rFonts w:ascii="Times New Roman" w:hAnsi="Times New Roman" w:cs="Times New Roman"/>
      <w:sz w:val="22"/>
      <w:szCs w:val="22"/>
    </w:rPr>
  </w:style>
  <w:style w:type="table" w:styleId="TableGrid">
    <w:name w:val="Table Grid"/>
    <w:basedOn w:val="TableNormal"/>
    <w:uiPriority w:val="59"/>
    <w:rsid w:val="004E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4E0508"/>
  </w:style>
  <w:style w:type="character" w:customStyle="1" w:styleId="ListParagraphChar">
    <w:name w:val="List Paragraph Char"/>
    <w:aliases w:val="Bullet Char"/>
    <w:link w:val="ListParagraph"/>
    <w:uiPriority w:val="34"/>
    <w:locked/>
    <w:rsid w:val="004E0508"/>
  </w:style>
  <w:style w:type="paragraph" w:styleId="BodyText">
    <w:name w:val="Body Text"/>
    <w:basedOn w:val="Normal"/>
    <w:link w:val="BodyTextChar"/>
    <w:rsid w:val="003666CF"/>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3666CF"/>
    <w:rPr>
      <w:rFonts w:ascii="Times New Roman" w:eastAsia="Times New Roman" w:hAnsi="Times New Roman" w:cs="Times New Roman"/>
      <w:sz w:val="24"/>
      <w:szCs w:val="24"/>
      <w:lang w:val="x-none" w:eastAsia="x-none"/>
    </w:rPr>
  </w:style>
  <w:style w:type="character" w:customStyle="1" w:styleId="tal1">
    <w:name w:val="tal1"/>
    <w:rsid w:val="0036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068945">
      <w:bodyDiv w:val="1"/>
      <w:marLeft w:val="0"/>
      <w:marRight w:val="0"/>
      <w:marTop w:val="0"/>
      <w:marBottom w:val="0"/>
      <w:divBdr>
        <w:top w:val="none" w:sz="0" w:space="0" w:color="auto"/>
        <w:left w:val="none" w:sz="0" w:space="0" w:color="auto"/>
        <w:bottom w:val="none" w:sz="0" w:space="0" w:color="auto"/>
        <w:right w:val="none" w:sz="0" w:space="0" w:color="auto"/>
      </w:divBdr>
    </w:div>
    <w:div w:id="746457306">
      <w:bodyDiv w:val="1"/>
      <w:marLeft w:val="0"/>
      <w:marRight w:val="0"/>
      <w:marTop w:val="0"/>
      <w:marBottom w:val="0"/>
      <w:divBdr>
        <w:top w:val="none" w:sz="0" w:space="0" w:color="auto"/>
        <w:left w:val="none" w:sz="0" w:space="0" w:color="auto"/>
        <w:bottom w:val="none" w:sz="0" w:space="0" w:color="auto"/>
        <w:right w:val="none" w:sz="0" w:space="0" w:color="auto"/>
      </w:divBdr>
    </w:div>
    <w:div w:id="14609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Bacaintan Cristina</cp:lastModifiedBy>
  <cp:revision>121</cp:revision>
  <dcterms:created xsi:type="dcterms:W3CDTF">2015-09-20T17:10:00Z</dcterms:created>
  <dcterms:modified xsi:type="dcterms:W3CDTF">2019-04-18T13:59:00Z</dcterms:modified>
</cp:coreProperties>
</file>