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6F2604">
      <w:pPr>
        <w:pStyle w:val="Default"/>
        <w:jc w:val="center"/>
      </w:pPr>
    </w:p>
    <w:p w:rsidR="003E1172" w:rsidRPr="006F2604" w:rsidRDefault="003E1172" w:rsidP="006F2604">
      <w:pPr>
        <w:pStyle w:val="Default"/>
      </w:pPr>
    </w:p>
    <w:p w:rsidR="004D4403" w:rsidRPr="006F2604" w:rsidRDefault="00471572" w:rsidP="006F2604">
      <w:pPr>
        <w:pStyle w:val="Default"/>
        <w:jc w:val="center"/>
        <w:rPr>
          <w:b/>
        </w:rPr>
      </w:pPr>
      <w:r>
        <w:rPr>
          <w:b/>
        </w:rPr>
        <w:t xml:space="preserve">Resolution number </w:t>
      </w:r>
      <w:r w:rsidR="00B37315">
        <w:rPr>
          <w:b/>
        </w:rPr>
        <w:t>11/14.09.2018</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Nuclearelectrica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471572">
      <w:pPr>
        <w:pStyle w:val="Default"/>
        <w:jc w:val="both"/>
      </w:pPr>
      <w:proofErr w:type="gramStart"/>
      <w:r w:rsidRPr="006F2604">
        <w:t xml:space="preserve">Today, </w:t>
      </w:r>
      <w:r w:rsidR="00B37315">
        <w:t>14 September 2018</w:t>
      </w:r>
      <w:r w:rsidRPr="006F2604">
        <w:t xml:space="preserve">, </w:t>
      </w:r>
      <w:r w:rsidR="00B43FA0" w:rsidRPr="006F2604">
        <w:t>1</w:t>
      </w:r>
      <w:r w:rsidR="00471572">
        <w:t>1</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Nuclearelectrica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A56C99">
        <w:rPr>
          <w:rFonts w:eastAsia="Calibri"/>
        </w:rPr>
        <w:t>at</w:t>
      </w:r>
      <w:r w:rsidR="00A56C99" w:rsidRPr="00A56C99">
        <w:rPr>
          <w:rFonts w:eastAsia="Times New Roman"/>
          <w:b/>
          <w:color w:val="auto"/>
          <w:lang w:val="en-GB"/>
        </w:rPr>
        <w:t xml:space="preserve"> </w:t>
      </w:r>
      <w:r w:rsidR="00471572" w:rsidRPr="00471572">
        <w:rPr>
          <w:lang w:val="en-GB"/>
        </w:rPr>
        <w:t xml:space="preserve">Hotel Capital Plaza, </w:t>
      </w:r>
      <w:r w:rsidR="00B37315">
        <w:rPr>
          <w:lang w:val="en-GB"/>
        </w:rPr>
        <w:t xml:space="preserve">Mihail </w:t>
      </w:r>
      <w:proofErr w:type="spellStart"/>
      <w:r w:rsidR="00B37315">
        <w:rPr>
          <w:lang w:val="en-GB"/>
        </w:rPr>
        <w:t>Kogalniceanu</w:t>
      </w:r>
      <w:proofErr w:type="spellEnd"/>
      <w:r w:rsidR="00471572" w:rsidRPr="00471572">
        <w:rPr>
          <w:lang w:val="en-GB"/>
        </w:rPr>
        <w:t xml:space="preserve"> Room, Bd. 54 Iancu de Hunedoara, District 1, Bucharest</w:t>
      </w:r>
      <w:r w:rsidR="00471572">
        <w:rPr>
          <w:b/>
          <w:lang w:val="en-GB"/>
        </w:rPr>
        <w:t xml:space="preserve"> </w:t>
      </w:r>
      <w:r w:rsidR="00471572" w:rsidRPr="006230B3">
        <w:rPr>
          <w:b/>
          <w:lang w:val="en-GB"/>
        </w:rPr>
        <w:t xml:space="preserve"> </w:t>
      </w:r>
      <w:r w:rsidR="00F66200" w:rsidRPr="006F2604">
        <w:rPr>
          <w:rFonts w:eastAsia="Calibri"/>
          <w:color w:val="auto"/>
        </w:rPr>
        <w:t xml:space="preserve"> </w:t>
      </w:r>
      <w:r w:rsidRPr="006F2604">
        <w:t xml:space="preserve">the </w:t>
      </w:r>
      <w:r w:rsidR="00713AEA" w:rsidRPr="006F2604">
        <w:t>E</w:t>
      </w:r>
      <w:r w:rsidRPr="006F2604">
        <w:t xml:space="preserve">GMS was opened by the President of the meeting, Mr. </w:t>
      </w:r>
      <w:r w:rsidR="006B3290" w:rsidRPr="006F2604">
        <w:t xml:space="preserve">Iulian Robert TUDORACHE </w:t>
      </w:r>
      <w:r w:rsidRPr="006F2604">
        <w:t xml:space="preserve"> in his capacity of President of the Board of Directors.</w:t>
      </w:r>
      <w:proofErr w:type="gramEnd"/>
      <w:r w:rsidRPr="006F2604">
        <w:t xml:space="preserve">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Pr="006F2604" w:rsidRDefault="00A45914" w:rsidP="006F2604">
      <w:pPr>
        <w:pStyle w:val="Default"/>
        <w:ind w:left="90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D3AA3" w:rsidRPr="006F2604">
        <w:t xml:space="preserve">number </w:t>
      </w:r>
      <w:r w:rsidR="000C76C6" w:rsidRPr="006F2604">
        <w:t>……..</w:t>
      </w:r>
      <w:r w:rsidR="001D3AA3" w:rsidRPr="006F2604">
        <w:t xml:space="preserve"> </w:t>
      </w:r>
      <w:proofErr w:type="gramStart"/>
      <w:r w:rsidR="001D3AA3" w:rsidRPr="006F2604">
        <w:t>of</w:t>
      </w:r>
      <w:proofErr w:type="gramEnd"/>
      <w:r w:rsidRPr="006F2604">
        <w:t xml:space="preserve"> </w:t>
      </w:r>
      <w:r w:rsidR="00105011">
        <w:t>………..</w:t>
      </w:r>
      <w:r w:rsidR="00A21B35" w:rsidRPr="006F2604">
        <w:t xml:space="preserve">, in the </w:t>
      </w:r>
      <w:r w:rsidR="00105011">
        <w:t>………….</w:t>
      </w:r>
      <w:r w:rsidRPr="006F2604">
        <w:t xml:space="preserve"> newspaper, number </w:t>
      </w:r>
      <w:r w:rsidR="000C76C6" w:rsidRPr="006F2604">
        <w:rPr>
          <w:lang w:val="nl-NL"/>
        </w:rPr>
        <w:t>.......</w:t>
      </w:r>
      <w:r w:rsidR="00850EDD" w:rsidRPr="006F2604">
        <w:rPr>
          <w:lang w:val="nl-NL"/>
        </w:rPr>
        <w:t xml:space="preserve"> </w:t>
      </w:r>
      <w:r w:rsidRPr="006F2604">
        <w:t xml:space="preserve"> of </w:t>
      </w:r>
      <w:r w:rsidR="00105011">
        <w:t>…………..</w:t>
      </w:r>
      <w:r w:rsidRPr="006F2604">
        <w:t xml:space="preserve"> </w:t>
      </w:r>
      <w:proofErr w:type="gramStart"/>
      <w:r w:rsidRPr="006F2604">
        <w:t>and</w:t>
      </w:r>
      <w:proofErr w:type="gramEnd"/>
      <w:r w:rsidRPr="006F2604">
        <w:t xml:space="preserve">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w:t>
      </w:r>
      <w:r w:rsidR="00A56C99">
        <w:t xml:space="preserve">article 16 </w:t>
      </w:r>
      <w:r w:rsidRPr="006F2604">
        <w:t>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Pr="006F2604" w:rsidRDefault="00F80241" w:rsidP="006F2604">
      <w:pPr>
        <w:pStyle w:val="Default"/>
        <w:jc w:val="both"/>
      </w:pPr>
    </w:p>
    <w:p w:rsidR="00947021" w:rsidRPr="006F2604" w:rsidRDefault="0034629E" w:rsidP="004E0508">
      <w:pPr>
        <w:pStyle w:val="Default"/>
        <w:numPr>
          <w:ilvl w:val="0"/>
          <w:numId w:val="1"/>
        </w:numPr>
        <w:jc w:val="both"/>
        <w:rPr>
          <w:b/>
        </w:rPr>
      </w:pPr>
      <w:r w:rsidRPr="006F2604">
        <w:rPr>
          <w:b/>
        </w:rPr>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lastRenderedPageBreak/>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400290">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Default="0068330D"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numPr>
          <w:ilvl w:val="0"/>
          <w:numId w:val="1"/>
        </w:numPr>
        <w:spacing w:after="0" w:line="240" w:lineRule="auto"/>
        <w:jc w:val="both"/>
        <w:rPr>
          <w:rFonts w:ascii="Times New Roman" w:eastAsia="Times New Roman" w:hAnsi="Times New Roman" w:cs="Times New Roman"/>
          <w:color w:val="000000"/>
          <w:sz w:val="24"/>
          <w:szCs w:val="24"/>
          <w:lang w:val="en-GB"/>
        </w:rPr>
      </w:pPr>
      <w:r w:rsidRPr="00471572">
        <w:rPr>
          <w:rFonts w:ascii="Times New Roman" w:eastAsia="Times New Roman" w:hAnsi="Times New Roman" w:cs="Times New Roman"/>
          <w:b/>
          <w:sz w:val="24"/>
          <w:szCs w:val="24"/>
          <w:lang w:val="en-GB"/>
        </w:rPr>
        <w:t xml:space="preserve">The approval </w:t>
      </w:r>
      <w:r w:rsidRPr="00471572">
        <w:rPr>
          <w:rFonts w:ascii="Times New Roman" w:eastAsia="Times New Roman" w:hAnsi="Times New Roman" w:cs="Times New Roman"/>
          <w:sz w:val="24"/>
          <w:szCs w:val="24"/>
          <w:lang w:val="en-GB"/>
        </w:rPr>
        <w:t xml:space="preserve">of the revised form of the Strategy to continue the Project with the acknowledgement of the phases unfolded thus far, including those unfolded based on the provisions of the Government Memorandum no. 20/12683/MB dated July 13, 2017 and on the </w:t>
      </w:r>
      <w:proofErr w:type="spellStart"/>
      <w:r w:rsidRPr="00471572">
        <w:rPr>
          <w:rFonts w:ascii="Times New Roman" w:eastAsia="Times New Roman" w:hAnsi="Times New Roman" w:cs="Times New Roman"/>
          <w:sz w:val="24"/>
          <w:szCs w:val="24"/>
          <w:lang w:val="en-GB"/>
        </w:rPr>
        <w:t>provisios</w:t>
      </w:r>
      <w:proofErr w:type="spellEnd"/>
      <w:r w:rsidRPr="00471572">
        <w:rPr>
          <w:rFonts w:ascii="Times New Roman" w:eastAsia="Times New Roman" w:hAnsi="Times New Roman" w:cs="Times New Roman"/>
          <w:sz w:val="24"/>
          <w:szCs w:val="24"/>
          <w:lang w:val="en-GB"/>
        </w:rPr>
        <w:t xml:space="preserve"> of the subsequent mandate granted to the </w:t>
      </w:r>
      <w:proofErr w:type="spellStart"/>
      <w:r w:rsidRPr="00471572">
        <w:rPr>
          <w:rFonts w:ascii="Times New Roman" w:eastAsia="Times New Roman" w:hAnsi="Times New Roman" w:cs="Times New Roman"/>
          <w:sz w:val="24"/>
          <w:szCs w:val="24"/>
          <w:lang w:val="en-GB"/>
        </w:rPr>
        <w:t>SNN</w:t>
      </w:r>
      <w:proofErr w:type="spellEnd"/>
      <w:r w:rsidRPr="00471572">
        <w:rPr>
          <w:rFonts w:ascii="Times New Roman" w:eastAsia="Times New Roman" w:hAnsi="Times New Roman" w:cs="Times New Roman"/>
          <w:sz w:val="24"/>
          <w:szCs w:val="24"/>
          <w:lang w:val="en-GB"/>
        </w:rPr>
        <w:t xml:space="preserve"> </w:t>
      </w:r>
      <w:proofErr w:type="spellStart"/>
      <w:r w:rsidRPr="00471572">
        <w:rPr>
          <w:rFonts w:ascii="Times New Roman" w:eastAsia="Times New Roman" w:hAnsi="Times New Roman" w:cs="Times New Roman"/>
          <w:sz w:val="24"/>
          <w:szCs w:val="24"/>
          <w:lang w:val="en-GB"/>
        </w:rPr>
        <w:t>BoD</w:t>
      </w:r>
      <w:proofErr w:type="spellEnd"/>
      <w:r w:rsidRPr="00471572">
        <w:rPr>
          <w:rFonts w:ascii="Times New Roman" w:eastAsia="Times New Roman" w:hAnsi="Times New Roman" w:cs="Times New Roman"/>
          <w:sz w:val="24"/>
          <w:szCs w:val="24"/>
          <w:lang w:val="en-GB"/>
        </w:rPr>
        <w:t xml:space="preserve"> through GMS resolution no. 6/24.08.2017, with a view to:</w:t>
      </w:r>
    </w:p>
    <w:p w:rsidR="00471572" w:rsidRPr="00471572" w:rsidRDefault="00471572" w:rsidP="00471572">
      <w:pPr>
        <w:numPr>
          <w:ilvl w:val="0"/>
          <w:numId w:val="5"/>
        </w:numPr>
        <w:spacing w:after="0" w:line="240" w:lineRule="auto"/>
        <w:jc w:val="both"/>
        <w:rPr>
          <w:rFonts w:ascii="Times New Roman" w:eastAsia="Times New Roman" w:hAnsi="Times New Roman" w:cs="Times New Roman"/>
          <w:color w:val="000000"/>
          <w:sz w:val="24"/>
          <w:szCs w:val="24"/>
          <w:lang w:val="en-GB"/>
        </w:rPr>
      </w:pPr>
      <w:r w:rsidRPr="00471572">
        <w:rPr>
          <w:rFonts w:ascii="Times New Roman" w:eastAsia="Times New Roman" w:hAnsi="Times New Roman" w:cs="Times New Roman"/>
          <w:sz w:val="24"/>
          <w:szCs w:val="24"/>
          <w:lang w:val="en-GB"/>
        </w:rPr>
        <w:t xml:space="preserve">Reorganize the negotiation/approval stages and terminate the activity of the designated commissions (the Negotiation Commission and the </w:t>
      </w:r>
      <w:proofErr w:type="spellStart"/>
      <w:r w:rsidRPr="00471572">
        <w:rPr>
          <w:rFonts w:ascii="Times New Roman" w:eastAsia="Times New Roman" w:hAnsi="Times New Roman" w:cs="Times New Roman"/>
          <w:sz w:val="24"/>
          <w:szCs w:val="24"/>
          <w:lang w:val="en-GB"/>
        </w:rPr>
        <w:t>Interministerial</w:t>
      </w:r>
      <w:proofErr w:type="spellEnd"/>
      <w:r w:rsidRPr="00471572">
        <w:rPr>
          <w:rFonts w:ascii="Times New Roman" w:eastAsia="Times New Roman" w:hAnsi="Times New Roman" w:cs="Times New Roman"/>
          <w:sz w:val="24"/>
          <w:szCs w:val="24"/>
          <w:lang w:val="en-GB"/>
        </w:rPr>
        <w:t xml:space="preserve"> Commission), the negotiations being conducted by a negotiation commission appointed by the executive management of SNN;</w:t>
      </w:r>
    </w:p>
    <w:p w:rsidR="00471572" w:rsidRPr="00471572" w:rsidRDefault="00471572" w:rsidP="00471572">
      <w:pPr>
        <w:numPr>
          <w:ilvl w:val="0"/>
          <w:numId w:val="5"/>
        </w:numPr>
        <w:spacing w:after="0" w:line="240" w:lineRule="auto"/>
        <w:jc w:val="both"/>
        <w:rPr>
          <w:rFonts w:ascii="Times New Roman" w:eastAsia="Times New Roman" w:hAnsi="Times New Roman" w:cs="Times New Roman"/>
          <w:color w:val="000000"/>
          <w:sz w:val="24"/>
          <w:szCs w:val="24"/>
          <w:lang w:val="en-GB"/>
        </w:rPr>
      </w:pPr>
      <w:r w:rsidRPr="00471572">
        <w:rPr>
          <w:rFonts w:ascii="Times New Roman" w:eastAsia="Times New Roman" w:hAnsi="Times New Roman" w:cs="Times New Roman"/>
          <w:sz w:val="24"/>
          <w:szCs w:val="24"/>
          <w:lang w:val="en-GB"/>
        </w:rPr>
        <w:t xml:space="preserve">Modify art. </w:t>
      </w:r>
      <w:proofErr w:type="gramStart"/>
      <w:r w:rsidRPr="00471572">
        <w:rPr>
          <w:rFonts w:ascii="Times New Roman" w:eastAsia="Times New Roman" w:hAnsi="Times New Roman" w:cs="Times New Roman"/>
          <w:sz w:val="24"/>
          <w:szCs w:val="24"/>
          <w:lang w:val="en-GB"/>
        </w:rPr>
        <w:t>8.14</w:t>
      </w:r>
      <w:proofErr w:type="gramEnd"/>
      <w:r w:rsidRPr="00471572">
        <w:rPr>
          <w:rFonts w:ascii="Times New Roman" w:eastAsia="Times New Roman" w:hAnsi="Times New Roman" w:cs="Times New Roman"/>
          <w:sz w:val="24"/>
          <w:szCs w:val="24"/>
          <w:lang w:val="en-GB"/>
        </w:rPr>
        <w:t xml:space="preserve"> in the sense that the Investors’ Agreement and Articles of Incorporation project of the </w:t>
      </w:r>
      <w:proofErr w:type="spellStart"/>
      <w:r w:rsidRPr="00471572">
        <w:rPr>
          <w:rFonts w:ascii="Times New Roman" w:eastAsia="Times New Roman" w:hAnsi="Times New Roman" w:cs="Times New Roman"/>
          <w:sz w:val="24"/>
          <w:szCs w:val="24"/>
          <w:lang w:val="en-GB"/>
        </w:rPr>
        <w:t>JVCo</w:t>
      </w:r>
      <w:proofErr w:type="spellEnd"/>
      <w:r w:rsidRPr="00471572">
        <w:rPr>
          <w:rFonts w:ascii="Times New Roman" w:eastAsia="Times New Roman" w:hAnsi="Times New Roman" w:cs="Times New Roman"/>
          <w:sz w:val="24"/>
          <w:szCs w:val="24"/>
          <w:lang w:val="en-GB"/>
        </w:rPr>
        <w:t xml:space="preserve"> will be subject to the approval of the SNN GMS within the limit of competences and attributions. </w:t>
      </w:r>
    </w:p>
    <w:p w:rsidR="00471572" w:rsidRDefault="00471572" w:rsidP="00471572">
      <w:pPr>
        <w:spacing w:after="0" w:line="240" w:lineRule="auto"/>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color w:val="000000"/>
          <w:sz w:val="24"/>
          <w:szCs w:val="24"/>
          <w:lang w:val="en-GB"/>
        </w:rPr>
      </w:pPr>
    </w:p>
    <w:p w:rsidR="00471572" w:rsidRDefault="00471572" w:rsidP="00471572">
      <w:pPr>
        <w:numPr>
          <w:ilvl w:val="0"/>
          <w:numId w:val="1"/>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The mandating</w:t>
      </w:r>
      <w:r w:rsidRPr="00471572">
        <w:rPr>
          <w:rFonts w:ascii="Times New Roman" w:eastAsia="Times New Roman" w:hAnsi="Times New Roman" w:cs="Times New Roman"/>
          <w:sz w:val="24"/>
          <w:szCs w:val="24"/>
          <w:lang w:val="en-GB"/>
        </w:rPr>
        <w:t xml:space="preserve"> of </w:t>
      </w:r>
      <w:proofErr w:type="spellStart"/>
      <w:r w:rsidRPr="00471572">
        <w:rPr>
          <w:rFonts w:ascii="Times New Roman" w:eastAsia="Times New Roman" w:hAnsi="Times New Roman" w:cs="Times New Roman"/>
          <w:sz w:val="24"/>
          <w:szCs w:val="24"/>
          <w:lang w:val="en-GB"/>
        </w:rPr>
        <w:t>SNN</w:t>
      </w:r>
      <w:proofErr w:type="spellEnd"/>
      <w:r w:rsidRPr="00471572">
        <w:rPr>
          <w:rFonts w:ascii="Times New Roman" w:eastAsia="Times New Roman" w:hAnsi="Times New Roman" w:cs="Times New Roman"/>
          <w:sz w:val="24"/>
          <w:szCs w:val="24"/>
          <w:lang w:val="en-GB"/>
        </w:rPr>
        <w:t xml:space="preserve"> </w:t>
      </w:r>
      <w:proofErr w:type="spellStart"/>
      <w:r w:rsidRPr="00471572">
        <w:rPr>
          <w:rFonts w:ascii="Times New Roman" w:eastAsia="Times New Roman" w:hAnsi="Times New Roman" w:cs="Times New Roman"/>
          <w:sz w:val="24"/>
          <w:szCs w:val="24"/>
          <w:lang w:val="en-GB"/>
        </w:rPr>
        <w:t>BoD</w:t>
      </w:r>
      <w:proofErr w:type="spellEnd"/>
      <w:r w:rsidRPr="00471572">
        <w:rPr>
          <w:rFonts w:ascii="Times New Roman" w:eastAsia="Times New Roman" w:hAnsi="Times New Roman" w:cs="Times New Roman"/>
          <w:sz w:val="24"/>
          <w:szCs w:val="24"/>
          <w:lang w:val="en-GB"/>
        </w:rPr>
        <w:t xml:space="preserve"> to establish the terms and conditions to continue the negotiations in order to allow the </w:t>
      </w:r>
      <w:proofErr w:type="spellStart"/>
      <w:r w:rsidRPr="00471572">
        <w:rPr>
          <w:rFonts w:ascii="Times New Roman" w:eastAsia="Times New Roman" w:hAnsi="Times New Roman" w:cs="Times New Roman"/>
          <w:sz w:val="24"/>
          <w:szCs w:val="24"/>
          <w:lang w:val="en-GB"/>
        </w:rPr>
        <w:t>set up</w:t>
      </w:r>
      <w:proofErr w:type="spellEnd"/>
      <w:r w:rsidRPr="00471572">
        <w:rPr>
          <w:rFonts w:ascii="Times New Roman" w:eastAsia="Times New Roman" w:hAnsi="Times New Roman" w:cs="Times New Roman"/>
          <w:sz w:val="24"/>
          <w:szCs w:val="24"/>
          <w:lang w:val="en-GB"/>
        </w:rPr>
        <w:t xml:space="preserve"> of a mixed company project (“</w:t>
      </w:r>
      <w:proofErr w:type="spellStart"/>
      <w:r w:rsidRPr="00471572">
        <w:rPr>
          <w:rFonts w:ascii="Times New Roman" w:eastAsia="Times New Roman" w:hAnsi="Times New Roman" w:cs="Times New Roman"/>
          <w:sz w:val="24"/>
          <w:szCs w:val="24"/>
          <w:lang w:val="en-GB"/>
        </w:rPr>
        <w:t>JVCo</w:t>
      </w:r>
      <w:proofErr w:type="spellEnd"/>
      <w:r w:rsidRPr="00471572">
        <w:rPr>
          <w:rFonts w:ascii="Times New Roman" w:eastAsia="Times New Roman" w:hAnsi="Times New Roman" w:cs="Times New Roman"/>
          <w:sz w:val="24"/>
          <w:szCs w:val="24"/>
          <w:lang w:val="en-GB"/>
        </w:rPr>
        <w:t xml:space="preserve">”) with </w:t>
      </w:r>
      <w:proofErr w:type="spellStart"/>
      <w:r w:rsidRPr="00471572">
        <w:rPr>
          <w:rFonts w:ascii="Times New Roman" w:eastAsia="Times New Roman" w:hAnsi="Times New Roman" w:cs="Times New Roman"/>
          <w:sz w:val="24"/>
          <w:szCs w:val="24"/>
          <w:lang w:val="en-GB"/>
        </w:rPr>
        <w:t>CGN</w:t>
      </w:r>
      <w:proofErr w:type="spellEnd"/>
      <w:r w:rsidRPr="00471572">
        <w:rPr>
          <w:rFonts w:ascii="Times New Roman" w:eastAsia="Times New Roman" w:hAnsi="Times New Roman" w:cs="Times New Roman"/>
          <w:sz w:val="24"/>
          <w:szCs w:val="24"/>
          <w:lang w:val="en-GB"/>
        </w:rPr>
        <w:t xml:space="preserve"> as well as to implement the revised Strategy in compliance with the above mentioned item. </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Default="00471572" w:rsidP="00471572">
      <w:pPr>
        <w:numPr>
          <w:ilvl w:val="0"/>
          <w:numId w:val="1"/>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 xml:space="preserve">The approval </w:t>
      </w:r>
      <w:r w:rsidRPr="00471572">
        <w:rPr>
          <w:rFonts w:ascii="Times New Roman" w:eastAsia="Times New Roman" w:hAnsi="Times New Roman" w:cs="Times New Roman"/>
          <w:sz w:val="24"/>
          <w:szCs w:val="24"/>
          <w:lang w:val="en-GB"/>
        </w:rPr>
        <w:t xml:space="preserve">of the date </w:t>
      </w:r>
      <w:r w:rsidR="00B37315">
        <w:rPr>
          <w:rFonts w:ascii="Times New Roman" w:eastAsia="Times New Roman" w:hAnsi="Times New Roman" w:cs="Times New Roman"/>
          <w:b/>
          <w:sz w:val="24"/>
          <w:szCs w:val="24"/>
          <w:lang w:val="ro-RO"/>
        </w:rPr>
        <w:t>02.10.2018</w:t>
      </w:r>
      <w:r w:rsidRPr="00471572">
        <w:rPr>
          <w:rFonts w:ascii="Times New Roman" w:eastAsia="Times New Roman" w:hAnsi="Times New Roman" w:cs="Times New Roman"/>
          <w:sz w:val="24"/>
          <w:szCs w:val="24"/>
          <w:lang w:val="en-GB"/>
        </w:rPr>
        <w:t xml:space="preserve"> </w:t>
      </w:r>
      <w:r w:rsidRPr="00471572">
        <w:rPr>
          <w:rFonts w:ascii="Times New Roman" w:eastAsia="Times New Roman" w:hAnsi="Times New Roman" w:cs="Times New Roman"/>
          <w:b/>
          <w:sz w:val="24"/>
          <w:szCs w:val="24"/>
          <w:lang w:val="en-GB"/>
        </w:rPr>
        <w:t>as registration date</w:t>
      </w:r>
      <w:r w:rsidRPr="00471572">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471572">
        <w:rPr>
          <w:rFonts w:ascii="Times New Roman" w:eastAsia="Times New Roman" w:hAnsi="Times New Roman" w:cs="Times New Roman"/>
          <w:sz w:val="24"/>
          <w:szCs w:val="24"/>
          <w:lang w:val="en-GB"/>
        </w:rPr>
        <w:t>will be affected</w:t>
      </w:r>
      <w:proofErr w:type="gramEnd"/>
      <w:r w:rsidRPr="00471572">
        <w:rPr>
          <w:rFonts w:ascii="Times New Roman" w:eastAsia="Times New Roman" w:hAnsi="Times New Roman" w:cs="Times New Roman"/>
          <w:sz w:val="24"/>
          <w:szCs w:val="24"/>
          <w:lang w:val="en-GB"/>
        </w:rPr>
        <w:t xml:space="preserve"> by the resolutions of the OGMS. </w:t>
      </w:r>
    </w:p>
    <w:p w:rsidR="00471572" w:rsidRDefault="00471572" w:rsidP="00471572">
      <w:pPr>
        <w:spacing w:after="0" w:line="240" w:lineRule="auto"/>
        <w:ind w:left="420"/>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Default="00471572" w:rsidP="00471572">
      <w:pPr>
        <w:numPr>
          <w:ilvl w:val="0"/>
          <w:numId w:val="1"/>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lastRenderedPageBreak/>
        <w:t xml:space="preserve">The approval </w:t>
      </w:r>
      <w:r w:rsidRPr="00471572">
        <w:rPr>
          <w:rFonts w:ascii="Times New Roman" w:eastAsia="Times New Roman" w:hAnsi="Times New Roman" w:cs="Times New Roman"/>
          <w:sz w:val="24"/>
          <w:szCs w:val="24"/>
          <w:lang w:val="en-GB"/>
        </w:rPr>
        <w:t xml:space="preserve">of the </w:t>
      </w:r>
      <w:proofErr w:type="gramStart"/>
      <w:r w:rsidRPr="00471572">
        <w:rPr>
          <w:rFonts w:ascii="Times New Roman" w:eastAsia="Times New Roman" w:hAnsi="Times New Roman" w:cs="Times New Roman"/>
          <w:sz w:val="24"/>
          <w:szCs w:val="24"/>
          <w:lang w:val="en-GB"/>
        </w:rPr>
        <w:t>date</w:t>
      </w:r>
      <w:r w:rsidRPr="00471572">
        <w:rPr>
          <w:rFonts w:ascii="Times New Roman" w:eastAsia="Times New Roman" w:hAnsi="Times New Roman" w:cs="Times New Roman"/>
          <w:b/>
          <w:sz w:val="24"/>
          <w:szCs w:val="24"/>
          <w:lang w:val="en-GB"/>
        </w:rPr>
        <w:t xml:space="preserve"> </w:t>
      </w:r>
      <w:r w:rsidRPr="00471572">
        <w:rPr>
          <w:rFonts w:ascii="Times New Roman" w:eastAsia="Times New Roman" w:hAnsi="Times New Roman" w:cs="Times New Roman"/>
          <w:sz w:val="24"/>
          <w:szCs w:val="24"/>
          <w:lang w:val="en-GB"/>
        </w:rPr>
        <w:t xml:space="preserve"> </w:t>
      </w:r>
      <w:r w:rsidR="00B37315">
        <w:rPr>
          <w:rFonts w:ascii="Times New Roman" w:eastAsia="Times New Roman" w:hAnsi="Times New Roman" w:cs="Times New Roman"/>
          <w:b/>
          <w:sz w:val="24"/>
          <w:szCs w:val="24"/>
          <w:lang w:val="ro-RO"/>
        </w:rPr>
        <w:t>01.10.2018</w:t>
      </w:r>
      <w:bookmarkStart w:id="0" w:name="_GoBack"/>
      <w:bookmarkEnd w:id="0"/>
      <w:proofErr w:type="gramEnd"/>
      <w:r w:rsidRPr="00471572">
        <w:rPr>
          <w:rFonts w:ascii="Times New Roman" w:eastAsia="Times New Roman" w:hAnsi="Times New Roman" w:cs="Times New Roman"/>
          <w:sz w:val="24"/>
          <w:szCs w:val="24"/>
          <w:lang w:val="en-GB"/>
        </w:rPr>
        <w:t xml:space="preserve"> as </w:t>
      </w:r>
      <w:r w:rsidRPr="00471572">
        <w:rPr>
          <w:rFonts w:ascii="Times New Roman" w:eastAsia="Times New Roman" w:hAnsi="Times New Roman" w:cs="Times New Roman"/>
          <w:b/>
          <w:sz w:val="24"/>
          <w:szCs w:val="24"/>
          <w:lang w:val="en-GB"/>
        </w:rPr>
        <w:t>„ex date”,</w:t>
      </w:r>
      <w:r w:rsidRPr="00471572">
        <w:rPr>
          <w:rFonts w:ascii="Times New Roman" w:eastAsia="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w:t>
      </w:r>
      <w:proofErr w:type="gramStart"/>
      <w:r w:rsidRPr="00471572">
        <w:rPr>
          <w:rFonts w:ascii="Times New Roman" w:eastAsia="Times New Roman" w:hAnsi="Times New Roman" w:cs="Times New Roman"/>
          <w:sz w:val="24"/>
          <w:szCs w:val="24"/>
          <w:lang w:val="en-GB"/>
        </w:rPr>
        <w:t>2</w:t>
      </w:r>
      <w:proofErr w:type="gramEnd"/>
      <w:r w:rsidRPr="00471572">
        <w:rPr>
          <w:rFonts w:ascii="Times New Roman" w:eastAsia="Times New Roman" w:hAnsi="Times New Roman" w:cs="Times New Roman"/>
          <w:sz w:val="24"/>
          <w:szCs w:val="24"/>
          <w:lang w:val="en-GB"/>
        </w:rPr>
        <w:t xml:space="preserve">, paragraph (2), letter l) of Regulation no. 5/2018 regarding the issuers of financial instruments and market operations. </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sz w:val="24"/>
          <w:szCs w:val="24"/>
          <w:lang w:val="en-GB"/>
        </w:rPr>
        <w:t xml:space="preserve"> </w:t>
      </w:r>
    </w:p>
    <w:p w:rsidR="00471572" w:rsidRDefault="00471572" w:rsidP="00471572">
      <w:pPr>
        <w:numPr>
          <w:ilvl w:val="0"/>
          <w:numId w:val="1"/>
        </w:numPr>
        <w:spacing w:after="0" w:line="240" w:lineRule="auto"/>
        <w:jc w:val="both"/>
        <w:rPr>
          <w:rFonts w:ascii="Times New Roman" w:eastAsia="Times New Roman" w:hAnsi="Times New Roman" w:cs="Times New Roman"/>
          <w:sz w:val="24"/>
          <w:szCs w:val="24"/>
          <w:lang w:val="en-GB"/>
        </w:rPr>
      </w:pPr>
      <w:proofErr w:type="gramStart"/>
      <w:r w:rsidRPr="00471572">
        <w:rPr>
          <w:rFonts w:ascii="Times New Roman" w:eastAsia="Times New Roman" w:hAnsi="Times New Roman" w:cs="Times New Roman"/>
          <w:b/>
          <w:sz w:val="24"/>
          <w:szCs w:val="24"/>
          <w:lang w:val="en-GB"/>
        </w:rPr>
        <w:t>The empowerment</w:t>
      </w:r>
      <w:r w:rsidRPr="00471572">
        <w:rPr>
          <w:rFonts w:ascii="Times New Roman" w:eastAsia="Times New Roman" w:hAnsi="Times New Roman" w:cs="Times New Roman"/>
          <w:sz w:val="24"/>
          <w:szCs w:val="24"/>
          <w:lang w:val="en-GB"/>
        </w:rPr>
        <w:t xml:space="preserve"> 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Pr="00471572">
        <w:rPr>
          <w:rFonts w:ascii="Times New Roman" w:eastAsia="Times New Roman" w:hAnsi="Times New Roman" w:cs="Times New Roman"/>
          <w:sz w:val="24"/>
          <w:szCs w:val="24"/>
          <w:lang w:val="en-GB"/>
        </w:rPr>
        <w:t xml:space="preserve"> The President of the Board of Directors may delegate all or part of the powers mentioned above to anyone competent to fulfil this mandate. </w:t>
      </w:r>
    </w:p>
    <w:p w:rsidR="00471572" w:rsidRPr="00471572" w:rsidRDefault="00471572" w:rsidP="00471572">
      <w:pPr>
        <w:spacing w:after="0" w:line="240" w:lineRule="auto"/>
        <w:ind w:left="360"/>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line="240" w:lineRule="auto"/>
        <w:rPr>
          <w:rFonts w:ascii="Times New Roman" w:hAnsi="Times New Roman" w:cs="Times New Roman"/>
          <w:sz w:val="24"/>
          <w:szCs w:val="24"/>
        </w:rPr>
      </w:pPr>
    </w:p>
    <w:p w:rsidR="00B56678" w:rsidRPr="006F2604" w:rsidRDefault="00B93A44"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PRESIDENT OF</w:t>
      </w:r>
      <w:r w:rsidR="00B56678" w:rsidRPr="006F2604">
        <w:rPr>
          <w:rFonts w:ascii="Times New Roman" w:hAnsi="Times New Roman" w:cs="Times New Roman"/>
          <w:sz w:val="24"/>
          <w:szCs w:val="24"/>
        </w:rPr>
        <w:t xml:space="preserve"> THE BOARD OF DIRECTORS</w:t>
      </w:r>
    </w:p>
    <w:p w:rsidR="00B56678" w:rsidRPr="006F2604" w:rsidRDefault="003518F6"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Iulian Robert TUDORACHE</w:t>
      </w:r>
    </w:p>
    <w:p w:rsidR="006117AB" w:rsidRPr="006F2604" w:rsidRDefault="00EC0D65"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 xml:space="preserve">                                                  </w:t>
      </w:r>
      <w:r w:rsidR="00B56678" w:rsidRPr="006F2604">
        <w:rPr>
          <w:rFonts w:ascii="Times New Roman" w:hAnsi="Times New Roman" w:cs="Times New Roman"/>
          <w:sz w:val="24"/>
          <w:szCs w:val="24"/>
        </w:rPr>
        <w:t xml:space="preserve"> </w:t>
      </w:r>
    </w:p>
    <w:p w:rsidR="006117AB" w:rsidRPr="006F2604" w:rsidRDefault="006117AB" w:rsidP="006F2604">
      <w:pPr>
        <w:spacing w:line="240" w:lineRule="auto"/>
        <w:rPr>
          <w:rFonts w:ascii="Times New Roman" w:hAnsi="Times New Roman" w:cs="Times New Roman"/>
          <w:sz w:val="24"/>
          <w:szCs w:val="24"/>
        </w:rPr>
      </w:pPr>
    </w:p>
    <w:p w:rsidR="004E0508" w:rsidRDefault="00471572" w:rsidP="006F2604">
      <w:pPr>
        <w:spacing w:line="240" w:lineRule="auto"/>
        <w:rPr>
          <w:rFonts w:ascii="Times New Roman" w:hAnsi="Times New Roman" w:cs="Times New Roman"/>
          <w:sz w:val="24"/>
          <w:szCs w:val="24"/>
        </w:rPr>
      </w:pPr>
      <w:r>
        <w:rPr>
          <w:rFonts w:ascii="Times New Roman" w:hAnsi="Times New Roman" w:cs="Times New Roman"/>
          <w:sz w:val="24"/>
          <w:szCs w:val="24"/>
        </w:rPr>
        <w:t>SECRETARY OF THE MEETING</w:t>
      </w:r>
    </w:p>
    <w:p w:rsidR="00471572" w:rsidRDefault="00471572" w:rsidP="006F2604">
      <w:pPr>
        <w:spacing w:line="240" w:lineRule="auto"/>
        <w:rPr>
          <w:rFonts w:ascii="Times New Roman" w:hAnsi="Times New Roman" w:cs="Times New Roman"/>
          <w:sz w:val="24"/>
          <w:szCs w:val="24"/>
        </w:rPr>
      </w:pPr>
      <w:r>
        <w:rPr>
          <w:rFonts w:ascii="Times New Roman" w:hAnsi="Times New Roman" w:cs="Times New Roman"/>
          <w:sz w:val="24"/>
          <w:szCs w:val="24"/>
        </w:rPr>
        <w:t>Sorin Teodoru</w:t>
      </w:r>
    </w:p>
    <w:sectPr w:rsidR="00471572"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7D" w:rsidRDefault="0077637D" w:rsidP="003E1172">
      <w:pPr>
        <w:spacing w:after="0" w:line="240" w:lineRule="auto"/>
      </w:pPr>
      <w:r>
        <w:separator/>
      </w:r>
    </w:p>
  </w:endnote>
  <w:endnote w:type="continuationSeparator" w:id="0">
    <w:p w:rsidR="0077637D" w:rsidRDefault="0077637D"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77637D"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7D" w:rsidRDefault="0077637D" w:rsidP="003E1172">
      <w:pPr>
        <w:spacing w:after="0" w:line="240" w:lineRule="auto"/>
      </w:pPr>
      <w:r>
        <w:separator/>
      </w:r>
    </w:p>
  </w:footnote>
  <w:footnote w:type="continuationSeparator" w:id="0">
    <w:p w:rsidR="0077637D" w:rsidRDefault="0077637D"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47EC728E"/>
    <w:multiLevelType w:val="hybridMultilevel"/>
    <w:tmpl w:val="858A84CE"/>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46961"/>
    <w:rsid w:val="000807D8"/>
    <w:rsid w:val="000A1E6E"/>
    <w:rsid w:val="000B60A9"/>
    <w:rsid w:val="000C76C6"/>
    <w:rsid w:val="000E2931"/>
    <w:rsid w:val="00105011"/>
    <w:rsid w:val="00186F58"/>
    <w:rsid w:val="001C68A1"/>
    <w:rsid w:val="001D1B20"/>
    <w:rsid w:val="001D3AA3"/>
    <w:rsid w:val="0020136E"/>
    <w:rsid w:val="00280FF2"/>
    <w:rsid w:val="00296AB5"/>
    <w:rsid w:val="002977B2"/>
    <w:rsid w:val="002F2740"/>
    <w:rsid w:val="002F6243"/>
    <w:rsid w:val="00326BFC"/>
    <w:rsid w:val="00331667"/>
    <w:rsid w:val="0034629E"/>
    <w:rsid w:val="003518F6"/>
    <w:rsid w:val="00355555"/>
    <w:rsid w:val="00356386"/>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6F2604"/>
    <w:rsid w:val="00713AEA"/>
    <w:rsid w:val="00745889"/>
    <w:rsid w:val="00774B40"/>
    <w:rsid w:val="0077637D"/>
    <w:rsid w:val="00777BD4"/>
    <w:rsid w:val="00793080"/>
    <w:rsid w:val="007A3CE8"/>
    <w:rsid w:val="007D2082"/>
    <w:rsid w:val="007D6B5F"/>
    <w:rsid w:val="007E70F7"/>
    <w:rsid w:val="008023A2"/>
    <w:rsid w:val="00850EDD"/>
    <w:rsid w:val="00856E81"/>
    <w:rsid w:val="008D5D3B"/>
    <w:rsid w:val="009056DF"/>
    <w:rsid w:val="00931DEB"/>
    <w:rsid w:val="009347F9"/>
    <w:rsid w:val="00947021"/>
    <w:rsid w:val="00950B3C"/>
    <w:rsid w:val="009C2832"/>
    <w:rsid w:val="009D26EE"/>
    <w:rsid w:val="00A02649"/>
    <w:rsid w:val="00A13352"/>
    <w:rsid w:val="00A21B35"/>
    <w:rsid w:val="00A45914"/>
    <w:rsid w:val="00A54BDA"/>
    <w:rsid w:val="00A56C99"/>
    <w:rsid w:val="00A65AD4"/>
    <w:rsid w:val="00A82E54"/>
    <w:rsid w:val="00AE6DDE"/>
    <w:rsid w:val="00B018A7"/>
    <w:rsid w:val="00B034FB"/>
    <w:rsid w:val="00B35A93"/>
    <w:rsid w:val="00B37315"/>
    <w:rsid w:val="00B43FA0"/>
    <w:rsid w:val="00B45C5E"/>
    <w:rsid w:val="00B56678"/>
    <w:rsid w:val="00B93A44"/>
    <w:rsid w:val="00BF0FBE"/>
    <w:rsid w:val="00C01DB5"/>
    <w:rsid w:val="00C41CE9"/>
    <w:rsid w:val="00CB7E7B"/>
    <w:rsid w:val="00CC51A8"/>
    <w:rsid w:val="00D2094E"/>
    <w:rsid w:val="00D5436D"/>
    <w:rsid w:val="00D70286"/>
    <w:rsid w:val="00D70FD0"/>
    <w:rsid w:val="00D77FB6"/>
    <w:rsid w:val="00DC766F"/>
    <w:rsid w:val="00DE2EFB"/>
    <w:rsid w:val="00E05561"/>
    <w:rsid w:val="00E370F2"/>
    <w:rsid w:val="00E40F56"/>
    <w:rsid w:val="00E50F40"/>
    <w:rsid w:val="00EB51DC"/>
    <w:rsid w:val="00EC0D65"/>
    <w:rsid w:val="00EC1A03"/>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5F1E"/>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100</cp:revision>
  <dcterms:created xsi:type="dcterms:W3CDTF">2015-09-20T17:10:00Z</dcterms:created>
  <dcterms:modified xsi:type="dcterms:W3CDTF">2018-08-14T09:15:00Z</dcterms:modified>
</cp:coreProperties>
</file>