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A18F" w14:textId="77777777" w:rsidR="00E507FB" w:rsidRPr="00F865A8" w:rsidRDefault="001B6528">
      <w:pPr>
        <w:spacing w:line="240" w:lineRule="auto"/>
        <w:jc w:val="center"/>
        <w:rPr>
          <w:rFonts w:ascii="Times New Roman" w:hAnsi="Times New Roman" w:cs="Times New Roman"/>
          <w:b/>
        </w:rPr>
      </w:pPr>
      <w:r w:rsidRPr="00F865A8">
        <w:rPr>
          <w:rFonts w:ascii="Times New Roman" w:hAnsi="Times New Roman" w:cs="Times New Roman"/>
          <w:b/>
        </w:rPr>
        <w:t>CONFIDENTIALITY AGREEMENT</w:t>
      </w:r>
    </w:p>
    <w:p w14:paraId="5B20DBF1" w14:textId="77777777" w:rsidR="00E507FB" w:rsidRPr="00F865A8" w:rsidRDefault="00E507FB">
      <w:pPr>
        <w:pStyle w:val="ListParagraph"/>
        <w:spacing w:line="240" w:lineRule="auto"/>
        <w:jc w:val="both"/>
        <w:rPr>
          <w:rFonts w:ascii="Times New Roman" w:hAnsi="Times New Roman" w:cs="Times New Roman"/>
        </w:rPr>
      </w:pPr>
    </w:p>
    <w:p w14:paraId="16A28319" w14:textId="77777777" w:rsidR="00E507FB" w:rsidRPr="00F865A8" w:rsidRDefault="001B6528">
      <w:pPr>
        <w:widowControl w:val="0"/>
        <w:tabs>
          <w:tab w:val="left" w:pos="856"/>
        </w:tabs>
        <w:spacing w:before="195" w:after="0" w:line="240" w:lineRule="auto"/>
        <w:jc w:val="both"/>
        <w:rPr>
          <w:rFonts w:ascii="Times New Roman" w:hAnsi="Times New Roman" w:cs="Times New Roman"/>
        </w:rPr>
      </w:pPr>
      <w:r w:rsidRPr="00F865A8">
        <w:rPr>
          <w:rFonts w:ascii="Times New Roman" w:hAnsi="Times New Roman" w:cs="Times New Roman"/>
        </w:rPr>
        <w:t>............................ (</w:t>
      </w:r>
      <w:r w:rsidRPr="00F865A8">
        <w:rPr>
          <w:rFonts w:ascii="Times New Roman" w:hAnsi="Times New Roman" w:cs="Times New Roman"/>
          <w:i/>
        </w:rPr>
        <w:t>name of the shareholder</w:t>
      </w:r>
      <w:r w:rsidRPr="00F865A8">
        <w:rPr>
          <w:rFonts w:ascii="Times New Roman" w:hAnsi="Times New Roman" w:cs="Times New Roman"/>
        </w:rPr>
        <w:t xml:space="preserve">),…………………………..citizen, born on…………………………. In………………………, resident of ……………………………………………, identified with ID card (or passport series)……………………………….., no…………..issued by………………………on……………………personal ID number…………………………………………., phone number…………………………………. owning a number of  ............................ shares in the Societatea Nationala Nuclearelectrica S.A. (“SNN”) on the reference date </w:t>
      </w:r>
      <w:r w:rsidR="00406D0B" w:rsidRPr="00F865A8">
        <w:rPr>
          <w:rFonts w:ascii="Times New Roman" w:hAnsi="Times New Roman" w:cs="Times New Roman"/>
          <w:b/>
        </w:rPr>
        <w:t>05.04.2024</w:t>
      </w:r>
      <w:r w:rsidRPr="00F865A8">
        <w:rPr>
          <w:rFonts w:ascii="Times New Roman" w:hAnsi="Times New Roman" w:cs="Times New Roman"/>
          <w:b/>
        </w:rPr>
        <w:t>.</w:t>
      </w:r>
    </w:p>
    <w:p w14:paraId="738C01B0" w14:textId="77777777" w:rsidR="00E507FB" w:rsidRPr="00F865A8" w:rsidRDefault="001B6528">
      <w:pPr>
        <w:widowControl w:val="0"/>
        <w:tabs>
          <w:tab w:val="left" w:pos="856"/>
        </w:tabs>
        <w:spacing w:before="195" w:after="0" w:line="240" w:lineRule="auto"/>
        <w:jc w:val="both"/>
        <w:rPr>
          <w:rFonts w:ascii="Times New Roman" w:hAnsi="Times New Roman" w:cs="Times New Roman"/>
        </w:rPr>
      </w:pPr>
      <w:r w:rsidRPr="00F865A8">
        <w:rPr>
          <w:rFonts w:ascii="Times New Roman" w:hAnsi="Times New Roman" w:cs="Times New Roman"/>
        </w:rPr>
        <w:t>Or (</w:t>
      </w:r>
      <w:r w:rsidRPr="00F865A8">
        <w:rPr>
          <w:rFonts w:ascii="Times New Roman" w:hAnsi="Times New Roman" w:cs="Times New Roman"/>
          <w:i/>
        </w:rPr>
        <w:t>as the case may be</w:t>
      </w:r>
      <w:r w:rsidRPr="00F865A8">
        <w:rPr>
          <w:rFonts w:ascii="Times New Roman" w:hAnsi="Times New Roman" w:cs="Times New Roman"/>
        </w:rPr>
        <w:t>)</w:t>
      </w:r>
    </w:p>
    <w:p w14:paraId="5D29B233" w14:textId="77777777" w:rsidR="00E507FB" w:rsidRPr="00F865A8" w:rsidRDefault="001B6528">
      <w:pPr>
        <w:widowControl w:val="0"/>
        <w:tabs>
          <w:tab w:val="left" w:pos="856"/>
        </w:tabs>
        <w:spacing w:before="195" w:after="0" w:line="240" w:lineRule="auto"/>
        <w:jc w:val="both"/>
        <w:rPr>
          <w:rFonts w:ascii="Times New Roman" w:hAnsi="Times New Roman" w:cs="Times New Roman"/>
          <w:b/>
        </w:rPr>
      </w:pPr>
      <w:r w:rsidRPr="00F865A8">
        <w:rPr>
          <w:rFonts w:ascii="Times New Roman" w:hAnsi="Times New Roman" w:cs="Times New Roman"/>
        </w:rPr>
        <w:t>……………………………………… (</w:t>
      </w:r>
      <w:r w:rsidRPr="00F865A8">
        <w:rPr>
          <w:rFonts w:ascii="Times New Roman" w:hAnsi="Times New Roman" w:cs="Times New Roman"/>
          <w:i/>
        </w:rPr>
        <w:t>name of the shareholder</w:t>
      </w:r>
      <w:r w:rsidRPr="00F865A8">
        <w:rPr>
          <w:rFonts w:ascii="Times New Roman" w:hAnsi="Times New Roman" w:cs="Times New Roman"/>
        </w:rPr>
        <w:t xml:space="preserve">) with its registered office in ………………….., phone ………………, fax: …………….., registered with the National Trade Register Office under No. ……………….., Sole Registration Number with Trade Register (CUI) ………………., Tax Registration Number (CIF) ………………, duly represented by ……………………….., owning a number of  ............................ shares in the Societatea Nationala Nuclearelectrica S.A. (“SNN”) on the reference date </w:t>
      </w:r>
      <w:r w:rsidR="00406D0B" w:rsidRPr="00F865A8">
        <w:rPr>
          <w:rFonts w:ascii="Times New Roman" w:hAnsi="Times New Roman" w:cs="Times New Roman"/>
          <w:b/>
        </w:rPr>
        <w:t>05.04.2024</w:t>
      </w:r>
      <w:r w:rsidRPr="00F865A8">
        <w:rPr>
          <w:rFonts w:ascii="Times New Roman" w:hAnsi="Times New Roman" w:cs="Times New Roman"/>
          <w:b/>
        </w:rPr>
        <w:t>.</w:t>
      </w:r>
    </w:p>
    <w:p w14:paraId="39F41DF9" w14:textId="77777777" w:rsidR="00E507FB" w:rsidRPr="00F865A8" w:rsidRDefault="00E507FB">
      <w:pPr>
        <w:widowControl w:val="0"/>
        <w:tabs>
          <w:tab w:val="left" w:pos="856"/>
        </w:tabs>
        <w:spacing w:before="195" w:after="0" w:line="240" w:lineRule="auto"/>
        <w:jc w:val="both"/>
        <w:rPr>
          <w:rFonts w:ascii="Times New Roman" w:hAnsi="Times New Roman" w:cs="Times New Roman"/>
        </w:rPr>
      </w:pPr>
    </w:p>
    <w:p w14:paraId="652EB997" w14:textId="2FCAA5CB" w:rsidR="00E507FB" w:rsidRDefault="001B6528">
      <w:pPr>
        <w:spacing w:line="240" w:lineRule="auto"/>
        <w:jc w:val="both"/>
        <w:rPr>
          <w:rFonts w:ascii="Times New Roman" w:hAnsi="Times New Roman" w:cs="Times New Roman"/>
        </w:rPr>
      </w:pPr>
      <w:r w:rsidRPr="00F865A8">
        <w:rPr>
          <w:rFonts w:ascii="Times New Roman" w:hAnsi="Times New Roman" w:cs="Times New Roman"/>
        </w:rPr>
        <w:t xml:space="preserve">(hereinafter referred to as </w:t>
      </w:r>
      <w:r w:rsidRPr="00F865A8">
        <w:rPr>
          <w:rFonts w:ascii="Times New Roman" w:hAnsi="Times New Roman" w:cs="Times New Roman"/>
          <w:b/>
        </w:rPr>
        <w:t>the Shareholder</w:t>
      </w:r>
      <w:r w:rsidRPr="00F865A8">
        <w:rPr>
          <w:rFonts w:ascii="Times New Roman" w:hAnsi="Times New Roman" w:cs="Times New Roman"/>
        </w:rPr>
        <w:t>)</w:t>
      </w:r>
    </w:p>
    <w:p w14:paraId="0C4717CB" w14:textId="77777777" w:rsidR="00F865A8" w:rsidRPr="00F865A8" w:rsidRDefault="00F865A8">
      <w:pPr>
        <w:spacing w:line="240" w:lineRule="auto"/>
        <w:jc w:val="both"/>
        <w:rPr>
          <w:rFonts w:ascii="Times New Roman" w:hAnsi="Times New Roman" w:cs="Times New Roman"/>
        </w:rPr>
      </w:pPr>
    </w:p>
    <w:p w14:paraId="4C92B16B" w14:textId="77777777" w:rsidR="00E507FB" w:rsidRPr="00F865A8" w:rsidRDefault="001B6528">
      <w:pPr>
        <w:pStyle w:val="ListParagraph"/>
        <w:numPr>
          <w:ilvl w:val="0"/>
          <w:numId w:val="17"/>
        </w:numPr>
        <w:spacing w:line="240" w:lineRule="auto"/>
        <w:jc w:val="both"/>
        <w:rPr>
          <w:rFonts w:ascii="Times New Roman" w:hAnsi="Times New Roman" w:cs="Times New Roman"/>
          <w:b/>
        </w:rPr>
      </w:pPr>
      <w:r w:rsidRPr="00F865A8">
        <w:rPr>
          <w:rFonts w:ascii="Times New Roman" w:hAnsi="Times New Roman" w:cs="Times New Roman"/>
          <w:b/>
        </w:rPr>
        <w:t>Introduction and definitions</w:t>
      </w:r>
    </w:p>
    <w:p w14:paraId="32AD2E5D" w14:textId="77777777" w:rsidR="00E507FB" w:rsidRPr="00F865A8" w:rsidRDefault="001B6528">
      <w:pPr>
        <w:spacing w:line="240" w:lineRule="auto"/>
        <w:jc w:val="both"/>
        <w:rPr>
          <w:rFonts w:ascii="Times New Roman" w:hAnsi="Times New Roman" w:cs="Times New Roman"/>
        </w:rPr>
      </w:pPr>
      <w:r w:rsidRPr="00F865A8">
        <w:rPr>
          <w:rFonts w:ascii="Times New Roman" w:hAnsi="Times New Roman" w:cs="Times New Roman"/>
        </w:rPr>
        <w:t>In view of:</w:t>
      </w:r>
    </w:p>
    <w:p w14:paraId="6C5594D7" w14:textId="3C95E7E3" w:rsidR="008F6802" w:rsidRPr="00E23300" w:rsidRDefault="001B6528" w:rsidP="008F6802">
      <w:pPr>
        <w:pStyle w:val="ListParagraph"/>
        <w:numPr>
          <w:ilvl w:val="1"/>
          <w:numId w:val="17"/>
        </w:numPr>
        <w:spacing w:after="0" w:line="240" w:lineRule="auto"/>
        <w:jc w:val="both"/>
        <w:rPr>
          <w:rFonts w:ascii="Times New Roman" w:hAnsi="Times New Roman" w:cs="Times New Roman"/>
          <w:b/>
          <w:lang w:val="ro-RO"/>
        </w:rPr>
      </w:pPr>
      <w:r w:rsidRPr="00F865A8">
        <w:rPr>
          <w:rFonts w:ascii="Times New Roman" w:hAnsi="Times New Roman" w:cs="Times New Roman"/>
        </w:rPr>
        <w:t xml:space="preserve">The Shareholder being a shareholder of Societatea Nationala Nuclearelectrica S.A. (“SNN”), having the right to participate and vote in the SNN’s </w:t>
      </w:r>
      <w:r w:rsidR="00F74E7E">
        <w:rPr>
          <w:rFonts w:ascii="Times New Roman" w:hAnsi="Times New Roman" w:cs="Times New Roman"/>
        </w:rPr>
        <w:t>Extrao</w:t>
      </w:r>
      <w:r w:rsidRPr="00F865A8">
        <w:rPr>
          <w:rFonts w:ascii="Times New Roman" w:hAnsi="Times New Roman" w:cs="Times New Roman"/>
          <w:lang w:bidi="en-US"/>
        </w:rPr>
        <w:t xml:space="preserve">rdinary General Meeting of Shareholders </w:t>
      </w:r>
      <w:r w:rsidRPr="00F865A8">
        <w:rPr>
          <w:rFonts w:ascii="Times New Roman" w:hAnsi="Times New Roman" w:cs="Times New Roman"/>
        </w:rPr>
        <w:t xml:space="preserve">to be held on </w:t>
      </w:r>
      <w:r w:rsidR="00406D0B" w:rsidRPr="00F865A8">
        <w:rPr>
          <w:rFonts w:ascii="Times New Roman" w:hAnsi="Times New Roman" w:cs="Times New Roman"/>
        </w:rPr>
        <w:t>17.04.2024</w:t>
      </w:r>
      <w:r w:rsidRPr="00F865A8">
        <w:rPr>
          <w:rFonts w:ascii="Times New Roman" w:hAnsi="Times New Roman" w:cs="Times New Roman"/>
        </w:rPr>
        <w:t xml:space="preserve"> (“</w:t>
      </w:r>
      <w:r w:rsidR="00F74E7E">
        <w:rPr>
          <w:rFonts w:ascii="Times New Roman" w:hAnsi="Times New Roman" w:cs="Times New Roman"/>
        </w:rPr>
        <w:t>E</w:t>
      </w:r>
      <w:r w:rsidRPr="00F865A8">
        <w:rPr>
          <w:rFonts w:ascii="Times New Roman" w:hAnsi="Times New Roman" w:cs="Times New Roman"/>
        </w:rPr>
        <w:t xml:space="preserve">GMS”) and having on the </w:t>
      </w:r>
      <w:r w:rsidR="009D07C8">
        <w:rPr>
          <w:rFonts w:ascii="Times New Roman" w:hAnsi="Times New Roman" w:cs="Times New Roman"/>
        </w:rPr>
        <w:t xml:space="preserve">revised </w:t>
      </w:r>
      <w:r w:rsidRPr="00F865A8">
        <w:rPr>
          <w:rFonts w:ascii="Times New Roman" w:hAnsi="Times New Roman" w:cs="Times New Roman"/>
        </w:rPr>
        <w:t>agenda, among other items, the approval of the</w:t>
      </w:r>
      <w:r w:rsidRPr="00F865A8">
        <w:rPr>
          <w:rFonts w:ascii="Times New Roman" w:hAnsi="Times New Roman" w:cs="Times New Roman"/>
          <w:b/>
        </w:rPr>
        <w:t xml:space="preserve"> </w:t>
      </w:r>
      <w:r w:rsidR="008F6802" w:rsidRPr="008F6802">
        <w:rPr>
          <w:rFonts w:ascii="Times New Roman" w:hAnsi="Times New Roman" w:cs="Times New Roman"/>
          <w:lang w:val="ro-RO"/>
        </w:rPr>
        <w:t>following elements:</w:t>
      </w:r>
    </w:p>
    <w:p w14:paraId="4214DFD0" w14:textId="77777777" w:rsidR="00E23300" w:rsidRPr="008F6802" w:rsidRDefault="00E23300" w:rsidP="00E23300">
      <w:pPr>
        <w:pStyle w:val="ListParagraph"/>
        <w:spacing w:after="0" w:line="240" w:lineRule="auto"/>
        <w:ind w:left="1440"/>
        <w:jc w:val="both"/>
        <w:rPr>
          <w:rFonts w:ascii="Times New Roman" w:hAnsi="Times New Roman" w:cs="Times New Roman"/>
          <w:b/>
          <w:lang w:val="ro-RO"/>
        </w:rPr>
      </w:pPr>
    </w:p>
    <w:p w14:paraId="50E47785" w14:textId="1CB61783" w:rsidR="00F47BC5" w:rsidRPr="00B00500" w:rsidRDefault="00BD3064" w:rsidP="00F47BC5">
      <w:pPr>
        <w:pStyle w:val="BodyText"/>
        <w:widowControl/>
        <w:ind w:left="1440"/>
        <w:jc w:val="both"/>
        <w:rPr>
          <w:sz w:val="22"/>
          <w:szCs w:val="22"/>
        </w:rPr>
      </w:pPr>
      <w:r>
        <w:rPr>
          <w:sz w:val="22"/>
          <w:szCs w:val="22"/>
          <w:lang w:val="ro-RO"/>
        </w:rPr>
        <w:t>5</w:t>
      </w:r>
      <w:r w:rsidR="00BC2079">
        <w:rPr>
          <w:sz w:val="22"/>
          <w:szCs w:val="22"/>
          <w:lang w:val="ro-RO"/>
        </w:rPr>
        <w:t xml:space="preserve">. </w:t>
      </w:r>
      <w:r w:rsidR="00F47BC5" w:rsidRPr="00B00500">
        <w:rPr>
          <w:b/>
          <w:sz w:val="22"/>
          <w:szCs w:val="22"/>
        </w:rPr>
        <w:t>Approval</w:t>
      </w:r>
      <w:r w:rsidR="00F47BC5" w:rsidRPr="00B00500">
        <w:rPr>
          <w:sz w:val="22"/>
          <w:szCs w:val="22"/>
        </w:rPr>
        <w:t xml:space="preserve"> of the tripartite Shareholders/Investors Agreement (SHA) to be concluded between SNN, NOVA POWER and GAS SRL and DSPE BETA PRIVATE EQUITY FUND for the development of the SMR Project, in Doicești Romania, in the form negotiated between SNN and the Project Partners. </w:t>
      </w:r>
    </w:p>
    <w:p w14:paraId="5C2DBB91" w14:textId="139EDF2D" w:rsidR="00E23300" w:rsidRPr="006B25A0" w:rsidRDefault="00E23300" w:rsidP="00BC2079">
      <w:pPr>
        <w:pStyle w:val="Default"/>
        <w:ind w:left="1440"/>
        <w:jc w:val="both"/>
        <w:rPr>
          <w:color w:val="auto"/>
          <w:sz w:val="22"/>
          <w:szCs w:val="22"/>
          <w:lang w:val="ro-RO"/>
        </w:rPr>
      </w:pPr>
    </w:p>
    <w:p w14:paraId="6C2A6E5C" w14:textId="44DE50D3" w:rsidR="001F2DEA" w:rsidRPr="00B00500" w:rsidRDefault="00BC2079" w:rsidP="001F2DEA">
      <w:pPr>
        <w:pStyle w:val="BodyText"/>
        <w:widowControl/>
        <w:spacing w:after="120"/>
        <w:ind w:left="1440"/>
        <w:jc w:val="both"/>
        <w:rPr>
          <w:sz w:val="22"/>
          <w:szCs w:val="22"/>
        </w:rPr>
      </w:pPr>
      <w:r>
        <w:rPr>
          <w:sz w:val="22"/>
          <w:szCs w:val="22"/>
          <w:lang w:val="ro-RO"/>
        </w:rPr>
        <w:t>1</w:t>
      </w:r>
      <w:r w:rsidR="00BD3064">
        <w:rPr>
          <w:sz w:val="22"/>
          <w:szCs w:val="22"/>
          <w:lang w:val="ro-RO"/>
        </w:rPr>
        <w:t>1</w:t>
      </w:r>
      <w:r>
        <w:rPr>
          <w:sz w:val="22"/>
          <w:szCs w:val="22"/>
          <w:lang w:val="ro-RO"/>
        </w:rPr>
        <w:t>.</w:t>
      </w:r>
      <w:r w:rsidR="00052AA3">
        <w:rPr>
          <w:sz w:val="22"/>
          <w:szCs w:val="22"/>
          <w:lang w:val="ro-RO"/>
        </w:rPr>
        <w:t xml:space="preserve"> </w:t>
      </w:r>
      <w:r w:rsidR="001F2DEA" w:rsidRPr="00A23551">
        <w:rPr>
          <w:b/>
          <w:sz w:val="22"/>
          <w:szCs w:val="22"/>
        </w:rPr>
        <w:t>Approval</w:t>
      </w:r>
      <w:r w:rsidR="001F2DEA" w:rsidRPr="00B00500">
        <w:rPr>
          <w:sz w:val="22"/>
          <w:szCs w:val="22"/>
        </w:rPr>
        <w:t xml:space="preserve"> of the mandate of the representative of SNN in the General Meeting of Shareholders of RoPower Nuclear S.A., on the date(s) on which it will be convened, the meeting which will have on the agenda the items that will be detailed below, to attend and vote in favor ("for") the following:</w:t>
      </w:r>
    </w:p>
    <w:p w14:paraId="32D8B7FC" w14:textId="77777777" w:rsidR="001F2DEA" w:rsidRPr="00B00500" w:rsidRDefault="001F2DEA" w:rsidP="001F2DEA">
      <w:pPr>
        <w:pStyle w:val="BodyText"/>
        <w:widowControl/>
        <w:numPr>
          <w:ilvl w:val="2"/>
          <w:numId w:val="40"/>
        </w:numPr>
        <w:jc w:val="both"/>
        <w:rPr>
          <w:sz w:val="22"/>
          <w:szCs w:val="22"/>
        </w:rPr>
      </w:pPr>
      <w:r w:rsidRPr="00B00500">
        <w:rPr>
          <w:b/>
          <w:sz w:val="22"/>
          <w:szCs w:val="22"/>
        </w:rPr>
        <w:t xml:space="preserve">Approval </w:t>
      </w:r>
      <w:r w:rsidRPr="00B00500">
        <w:rPr>
          <w:sz w:val="22"/>
          <w:szCs w:val="22"/>
        </w:rPr>
        <w:t>of the conclusion of the FEED Phase 2 Offshore Contract;</w:t>
      </w:r>
    </w:p>
    <w:p w14:paraId="3F16FC10" w14:textId="77777777" w:rsidR="001F2DEA" w:rsidRPr="00B00500" w:rsidRDefault="001F2DEA" w:rsidP="001F2DEA">
      <w:pPr>
        <w:pStyle w:val="BodyText"/>
        <w:widowControl/>
        <w:numPr>
          <w:ilvl w:val="2"/>
          <w:numId w:val="40"/>
        </w:numPr>
        <w:jc w:val="both"/>
        <w:rPr>
          <w:sz w:val="22"/>
          <w:szCs w:val="22"/>
        </w:rPr>
      </w:pPr>
      <w:r w:rsidRPr="00B00500">
        <w:rPr>
          <w:b/>
          <w:sz w:val="22"/>
          <w:szCs w:val="22"/>
        </w:rPr>
        <w:t>Approval</w:t>
      </w:r>
      <w:r w:rsidRPr="00B00500">
        <w:rPr>
          <w:sz w:val="22"/>
          <w:szCs w:val="22"/>
        </w:rPr>
        <w:t xml:space="preserve"> of the conclusion of the FEED Phase 2 Onshore Contract;</w:t>
      </w:r>
    </w:p>
    <w:p w14:paraId="6FD0D085" w14:textId="77777777" w:rsidR="001F2DEA" w:rsidRPr="00B00500" w:rsidRDefault="001F2DEA" w:rsidP="001F2DEA">
      <w:pPr>
        <w:pStyle w:val="BodyText"/>
        <w:widowControl/>
        <w:numPr>
          <w:ilvl w:val="2"/>
          <w:numId w:val="40"/>
        </w:numPr>
        <w:jc w:val="both"/>
        <w:rPr>
          <w:sz w:val="22"/>
          <w:szCs w:val="22"/>
        </w:rPr>
      </w:pPr>
      <w:r w:rsidRPr="00B00500">
        <w:rPr>
          <w:b/>
          <w:sz w:val="22"/>
          <w:szCs w:val="22"/>
        </w:rPr>
        <w:t xml:space="preserve">Approval </w:t>
      </w:r>
      <w:r w:rsidRPr="00B00500">
        <w:rPr>
          <w:sz w:val="22"/>
          <w:szCs w:val="22"/>
        </w:rPr>
        <w:t>of the conclusion of the Technology License Agreement;</w:t>
      </w:r>
    </w:p>
    <w:p w14:paraId="38DC6EEF" w14:textId="77777777" w:rsidR="001F2DEA" w:rsidRPr="00B00500" w:rsidRDefault="001F2DEA" w:rsidP="001F2DEA">
      <w:pPr>
        <w:pStyle w:val="BodyText"/>
        <w:widowControl/>
        <w:numPr>
          <w:ilvl w:val="2"/>
          <w:numId w:val="40"/>
        </w:numPr>
        <w:jc w:val="both"/>
        <w:rPr>
          <w:sz w:val="22"/>
          <w:szCs w:val="22"/>
        </w:rPr>
      </w:pPr>
      <w:r w:rsidRPr="00B00500">
        <w:rPr>
          <w:b/>
          <w:sz w:val="22"/>
          <w:szCs w:val="22"/>
        </w:rPr>
        <w:t>Approval</w:t>
      </w:r>
      <w:r w:rsidRPr="00B00500">
        <w:rPr>
          <w:sz w:val="22"/>
          <w:szCs w:val="22"/>
        </w:rPr>
        <w:t xml:space="preserve"> of the increase of the ceiling of the loan granted by SNN under the Master Loan Agreement No.1 dated 16.08.2023 up to the amount of USD 243,000,000, and conclusion of the Supplementary Deed No.2 to the Master Loan Agreement No.1 dated 16.08.2023, with the stipulation that Ro Power Nuclear S.A. will access this loan only to the extent that the Project cannot be financed from other sources (share capital, generated by a change in RPN's shareholding structure, or bank loans/credits or other sources of financing) and, in any case, only until such other sources of financing are identified;</w:t>
      </w:r>
    </w:p>
    <w:p w14:paraId="7B98A0F6" w14:textId="77777777" w:rsidR="001F2DEA" w:rsidRPr="00B00500" w:rsidRDefault="001F2DEA" w:rsidP="001F2DEA">
      <w:pPr>
        <w:pStyle w:val="BodyText"/>
        <w:widowControl/>
        <w:numPr>
          <w:ilvl w:val="2"/>
          <w:numId w:val="40"/>
        </w:numPr>
        <w:jc w:val="both"/>
        <w:rPr>
          <w:sz w:val="22"/>
          <w:szCs w:val="22"/>
        </w:rPr>
      </w:pPr>
      <w:r w:rsidRPr="00B00500">
        <w:rPr>
          <w:b/>
          <w:sz w:val="22"/>
          <w:szCs w:val="22"/>
        </w:rPr>
        <w:t xml:space="preserve">Approval </w:t>
      </w:r>
      <w:r w:rsidRPr="00B00500">
        <w:rPr>
          <w:sz w:val="22"/>
          <w:szCs w:val="22"/>
        </w:rPr>
        <w:t>of the conclusion of the Additional Deed No. 2 to the Movable Mortgage Contract concluded with SNN;</w:t>
      </w:r>
    </w:p>
    <w:p w14:paraId="2963EAEA" w14:textId="77777777" w:rsidR="001F2DEA" w:rsidRPr="00B00500" w:rsidRDefault="001F2DEA" w:rsidP="001F2DEA">
      <w:pPr>
        <w:pStyle w:val="BodyText"/>
        <w:widowControl/>
        <w:numPr>
          <w:ilvl w:val="2"/>
          <w:numId w:val="40"/>
        </w:numPr>
        <w:jc w:val="both"/>
        <w:rPr>
          <w:sz w:val="22"/>
          <w:szCs w:val="22"/>
        </w:rPr>
      </w:pPr>
      <w:r w:rsidRPr="00B00500">
        <w:rPr>
          <w:b/>
          <w:sz w:val="22"/>
          <w:szCs w:val="22"/>
        </w:rPr>
        <w:lastRenderedPageBreak/>
        <w:t>Approval</w:t>
      </w:r>
      <w:r w:rsidRPr="00B00500">
        <w:rPr>
          <w:sz w:val="22"/>
          <w:szCs w:val="22"/>
        </w:rPr>
        <w:t xml:space="preserve"> of the mandate of the Chairman of the Board of Directors and/or the CEO of the company to sign, in the name and on behalf of RoPower Nuclear S.A., the contracts referred to in points i) to iii);</w:t>
      </w:r>
    </w:p>
    <w:p w14:paraId="7937DC0F" w14:textId="77777777" w:rsidR="001F2DEA" w:rsidRPr="00B00500" w:rsidRDefault="001F2DEA" w:rsidP="001F2DEA">
      <w:pPr>
        <w:pStyle w:val="BodyText"/>
        <w:widowControl/>
        <w:numPr>
          <w:ilvl w:val="2"/>
          <w:numId w:val="40"/>
        </w:numPr>
        <w:jc w:val="both"/>
        <w:rPr>
          <w:sz w:val="22"/>
          <w:szCs w:val="22"/>
        </w:rPr>
      </w:pPr>
      <w:r w:rsidRPr="00B00500">
        <w:rPr>
          <w:b/>
          <w:sz w:val="22"/>
          <w:szCs w:val="22"/>
        </w:rPr>
        <w:t>Approval</w:t>
      </w:r>
      <w:r w:rsidRPr="00B00500">
        <w:rPr>
          <w:sz w:val="22"/>
          <w:szCs w:val="22"/>
        </w:rPr>
        <w:t xml:space="preserve"> of the mandate of the CEO of the Company to sign, in the name and on behalf of RoPower Nuclear S.A., the contracts referred to in points iv)-v);</w:t>
      </w:r>
    </w:p>
    <w:p w14:paraId="6F022F78" w14:textId="77777777" w:rsidR="001F2DEA" w:rsidRPr="00B00500" w:rsidRDefault="001F2DEA" w:rsidP="001F2DEA">
      <w:pPr>
        <w:pStyle w:val="BodyText"/>
        <w:widowControl/>
        <w:numPr>
          <w:ilvl w:val="2"/>
          <w:numId w:val="40"/>
        </w:numPr>
        <w:jc w:val="both"/>
        <w:rPr>
          <w:sz w:val="22"/>
          <w:szCs w:val="22"/>
        </w:rPr>
      </w:pPr>
      <w:r w:rsidRPr="00B00500">
        <w:rPr>
          <w:b/>
          <w:sz w:val="22"/>
          <w:szCs w:val="22"/>
        </w:rPr>
        <w:t xml:space="preserve">Approval </w:t>
      </w:r>
      <w:r w:rsidRPr="00B00500">
        <w:rPr>
          <w:sz w:val="22"/>
          <w:szCs w:val="22"/>
        </w:rPr>
        <w:t>of the empowerment of the CEO of RoPower Nuclear S.A., with the possibility of sub-delegation, to carry out any act or formality required by law for the implementation of the resolutions adopted in this regard, including their registration and publication at the Trade Register Office or any other public institution.</w:t>
      </w:r>
    </w:p>
    <w:p w14:paraId="61DEEEBD" w14:textId="794877D7" w:rsidR="00406D0B" w:rsidRPr="00240018" w:rsidRDefault="00406D0B" w:rsidP="001F2DEA">
      <w:pPr>
        <w:pStyle w:val="Default"/>
        <w:ind w:left="1440"/>
        <w:jc w:val="both"/>
        <w:rPr>
          <w:b/>
          <w:highlight w:val="cyan"/>
          <w:lang w:val="ro-RO"/>
        </w:rPr>
      </w:pPr>
    </w:p>
    <w:p w14:paraId="672EE5C4" w14:textId="6AAE9F16" w:rsidR="000A3421" w:rsidRPr="00307D85" w:rsidRDefault="000A3421" w:rsidP="00307D85">
      <w:pPr>
        <w:pStyle w:val="ListParagraph"/>
        <w:widowControl w:val="0"/>
        <w:numPr>
          <w:ilvl w:val="1"/>
          <w:numId w:val="17"/>
        </w:numPr>
        <w:autoSpaceDE w:val="0"/>
        <w:autoSpaceDN w:val="0"/>
        <w:adjustRightInd w:val="0"/>
        <w:spacing w:after="0" w:line="240" w:lineRule="auto"/>
        <w:ind w:right="-23"/>
        <w:jc w:val="both"/>
        <w:rPr>
          <w:rFonts w:ascii="Times New Roman" w:hAnsi="Times New Roman" w:cs="Times New Roman"/>
          <w:color w:val="000000"/>
        </w:rPr>
      </w:pPr>
      <w:r w:rsidRPr="00307D85">
        <w:rPr>
          <w:rFonts w:ascii="Times New Roman" w:hAnsi="Times New Roman" w:cs="Times New Roman"/>
          <w:bCs/>
        </w:rPr>
        <w:t>The access to the</w:t>
      </w:r>
      <w:r w:rsidRPr="00307D85">
        <w:rPr>
          <w:rFonts w:ascii="Times New Roman" w:hAnsi="Times New Roman" w:cs="Times New Roman"/>
          <w:b/>
          <w:bCs/>
        </w:rPr>
        <w:t xml:space="preserve"> </w:t>
      </w:r>
      <w:r w:rsidRPr="00307D85">
        <w:rPr>
          <w:rFonts w:ascii="Times New Roman" w:hAnsi="Times New Roman" w:cs="Times New Roman"/>
          <w:b/>
        </w:rPr>
        <w:t>tripartite Shareholders/Investors Agreement (“SHA”</w:t>
      </w:r>
      <w:r w:rsidRPr="00307D85">
        <w:rPr>
          <w:rFonts w:ascii="Times New Roman" w:hAnsi="Times New Roman" w:cs="Times New Roman"/>
        </w:rPr>
        <w:t>) to be concluded between SNN, NOVA POWER and GAS SRL and DSPE BETA PRIVATE EQUITY FUND for the development of the SMR Project, in Doicești Romania, in the form negotiated between SNN and the Project Partners</w:t>
      </w:r>
      <w:r w:rsidR="00307D85" w:rsidRPr="00307D85">
        <w:rPr>
          <w:rFonts w:ascii="Times New Roman" w:hAnsi="Times New Roman" w:cs="Times New Roman"/>
        </w:rPr>
        <w:t>, i</w:t>
      </w:r>
      <w:r w:rsidR="00307D85" w:rsidRPr="00307D85">
        <w:rPr>
          <w:rFonts w:ascii="Times New Roman" w:hAnsi="Times New Roman" w:cs="Times New Roman"/>
          <w:color w:val="000000"/>
        </w:rPr>
        <w:t>s being conditioned by the Shareholder signing a Confidentiality Agreement to protect the information provided</w:t>
      </w:r>
      <w:r w:rsidR="00D80A3A">
        <w:rPr>
          <w:rFonts w:ascii="Times New Roman" w:hAnsi="Times New Roman" w:cs="Times New Roman"/>
          <w:color w:val="000000"/>
        </w:rPr>
        <w:t>;</w:t>
      </w:r>
    </w:p>
    <w:p w14:paraId="23926154" w14:textId="77777777" w:rsidR="000A3421" w:rsidRPr="000A3421" w:rsidRDefault="000A3421" w:rsidP="000A3421">
      <w:pPr>
        <w:pStyle w:val="ListParagraph"/>
        <w:ind w:left="1440"/>
        <w:jc w:val="both"/>
        <w:rPr>
          <w:rFonts w:ascii="Times New Roman" w:hAnsi="Times New Roman" w:cs="Times New Roman"/>
          <w:bCs/>
        </w:rPr>
      </w:pPr>
    </w:p>
    <w:p w14:paraId="4079B681" w14:textId="1F8FB567" w:rsidR="00E507FB" w:rsidRPr="00EB018C" w:rsidRDefault="001B6528" w:rsidP="00D93328">
      <w:pPr>
        <w:pStyle w:val="ListParagraph"/>
        <w:numPr>
          <w:ilvl w:val="1"/>
          <w:numId w:val="17"/>
        </w:numPr>
        <w:jc w:val="both"/>
        <w:rPr>
          <w:rFonts w:ascii="Times New Roman" w:hAnsi="Times New Roman" w:cs="Times New Roman"/>
          <w:bCs/>
        </w:rPr>
      </w:pPr>
      <w:r w:rsidRPr="00EB018C">
        <w:rPr>
          <w:rFonts w:ascii="Times New Roman" w:hAnsi="Times New Roman" w:cs="Times New Roman"/>
        </w:rPr>
        <w:t xml:space="preserve">The access to </w:t>
      </w:r>
      <w:bookmarkStart w:id="0" w:name="_Hlk160798298"/>
      <w:r w:rsidR="004B7D95" w:rsidRPr="00EB018C">
        <w:rPr>
          <w:rFonts w:ascii="Times New Roman" w:hAnsi="Times New Roman" w:cs="Times New Roman"/>
          <w:b/>
        </w:rPr>
        <w:t>FEED Phase 2 Contract</w:t>
      </w:r>
      <w:r w:rsidR="00A81834" w:rsidRPr="00EB018C">
        <w:rPr>
          <w:rFonts w:ascii="Times New Roman" w:hAnsi="Times New Roman" w:cs="Times New Roman"/>
          <w:b/>
        </w:rPr>
        <w:t>s</w:t>
      </w:r>
      <w:r w:rsidR="004B7D95" w:rsidRPr="00EB018C">
        <w:rPr>
          <w:rFonts w:ascii="Times New Roman" w:hAnsi="Times New Roman" w:cs="Times New Roman"/>
          <w:b/>
        </w:rPr>
        <w:t xml:space="preserve"> (“Offshore”, respectively “Onshore”</w:t>
      </w:r>
      <w:r w:rsidR="00A81834" w:rsidRPr="00EB018C">
        <w:rPr>
          <w:rFonts w:ascii="Times New Roman" w:hAnsi="Times New Roman" w:cs="Times New Roman"/>
          <w:b/>
        </w:rPr>
        <w:t>)</w:t>
      </w:r>
      <w:r w:rsidR="004B7D95" w:rsidRPr="00EB018C">
        <w:rPr>
          <w:rFonts w:ascii="Times New Roman" w:hAnsi="Times New Roman" w:cs="Times New Roman"/>
          <w:b/>
        </w:rPr>
        <w:t xml:space="preserve">, </w:t>
      </w:r>
      <w:r w:rsidR="00D93328" w:rsidRPr="00EB018C">
        <w:rPr>
          <w:rFonts w:ascii="Times New Roman" w:hAnsi="Times New Roman" w:cs="Times New Roman"/>
          <w:bCs/>
          <w:lang w:val="en"/>
        </w:rPr>
        <w:t>with</w:t>
      </w:r>
      <w:bookmarkEnd w:id="0"/>
      <w:r w:rsidR="00054D2D" w:rsidRPr="00EB018C">
        <w:rPr>
          <w:rFonts w:ascii="Times New Roman" w:hAnsi="Times New Roman" w:cs="Times New Roman"/>
          <w:bCs/>
          <w:lang w:val="en"/>
        </w:rPr>
        <w:t xml:space="preserve"> the exception of </w:t>
      </w:r>
      <w:r w:rsidR="0029448D" w:rsidRPr="00EB018C">
        <w:rPr>
          <w:rFonts w:ascii="Times New Roman" w:hAnsi="Times New Roman" w:cs="Times New Roman"/>
        </w:rPr>
        <w:t>the information r</w:t>
      </w:r>
      <w:r w:rsidR="00E1729E" w:rsidRPr="00EB018C">
        <w:rPr>
          <w:rFonts w:ascii="Times New Roman" w:hAnsi="Times New Roman" w:cs="Times New Roman"/>
        </w:rPr>
        <w:t>eferring to the following</w:t>
      </w:r>
      <w:r w:rsidR="00A81834" w:rsidRPr="00EB018C">
        <w:rPr>
          <w:rFonts w:ascii="Times New Roman" w:hAnsi="Times New Roman" w:cs="Times New Roman"/>
        </w:rPr>
        <w:t>:</w:t>
      </w:r>
    </w:p>
    <w:p w14:paraId="053620D1" w14:textId="1CAAD949" w:rsidR="00EB5809" w:rsidRDefault="00EB5809"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10.2 </w:t>
      </w:r>
      <w:r w:rsidRPr="00EB5809">
        <w:rPr>
          <w:rFonts w:ascii="Times New Roman" w:hAnsi="Times New Roman" w:cs="Times New Roman"/>
          <w:b/>
          <w:color w:val="000000"/>
        </w:rPr>
        <w:t>“Contractor’s IP and Third-Party IP”</w:t>
      </w:r>
      <w:r>
        <w:rPr>
          <w:rFonts w:ascii="Times New Roman" w:hAnsi="Times New Roman" w:cs="Times New Roman"/>
          <w:color w:val="000000"/>
        </w:rPr>
        <w:t>, respectively Chapters 10.2.1 and 10.2.2 regarding Intellectual Property rights of the Contractor and of a third Party;</w:t>
      </w:r>
    </w:p>
    <w:p w14:paraId="615E8DD3" w14:textId="41F5766A" w:rsidR="00EB5809" w:rsidRDefault="00EB5809"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10.4 </w:t>
      </w:r>
      <w:r w:rsidRPr="00EB5809">
        <w:rPr>
          <w:rFonts w:ascii="Times New Roman" w:hAnsi="Times New Roman" w:cs="Times New Roman"/>
          <w:b/>
          <w:color w:val="000000"/>
        </w:rPr>
        <w:t>“Owner Furnished Information”</w:t>
      </w:r>
      <w:r>
        <w:rPr>
          <w:rFonts w:ascii="Times New Roman" w:hAnsi="Times New Roman" w:cs="Times New Roman"/>
          <w:color w:val="000000"/>
        </w:rPr>
        <w:t>, regarding property rights and retention of certain information and materials;</w:t>
      </w:r>
    </w:p>
    <w:p w14:paraId="00CC94CE" w14:textId="610CA5FD" w:rsidR="005D20B7" w:rsidRDefault="005D20B7"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Chapter 11.1.3 “</w:t>
      </w:r>
      <w:r w:rsidRPr="005D20B7">
        <w:rPr>
          <w:rFonts w:ascii="Times New Roman" w:hAnsi="Times New Roman" w:cs="Times New Roman"/>
          <w:b/>
          <w:color w:val="000000"/>
        </w:rPr>
        <w:t>Warranty of Accuracy of FEED Phase 1 Deliverables</w:t>
      </w:r>
      <w:r>
        <w:rPr>
          <w:rFonts w:ascii="Times New Roman" w:hAnsi="Times New Roman" w:cs="Times New Roman"/>
          <w:color w:val="000000"/>
        </w:rPr>
        <w:t>”, regarding terms and conditions with respect to execution performance for FEED Phase 1 deliverables;</w:t>
      </w:r>
    </w:p>
    <w:p w14:paraId="3D48BE0A" w14:textId="0459AAD6" w:rsidR="005D20B7" w:rsidRDefault="005D20B7"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14.3.1 </w:t>
      </w:r>
      <w:r w:rsidRPr="002253F7">
        <w:rPr>
          <w:rFonts w:ascii="Times New Roman" w:hAnsi="Times New Roman" w:cs="Times New Roman"/>
          <w:b/>
          <w:color w:val="000000"/>
        </w:rPr>
        <w:t>“Termination for Convenience by Owner”</w:t>
      </w:r>
      <w:r>
        <w:rPr>
          <w:rFonts w:ascii="Times New Roman" w:hAnsi="Times New Roman" w:cs="Times New Roman"/>
          <w:color w:val="000000"/>
        </w:rPr>
        <w:t>, regarding the rights and mechanism for contract termination;</w:t>
      </w:r>
    </w:p>
    <w:p w14:paraId="7EFB91B4" w14:textId="3FABA748" w:rsidR="002253F7" w:rsidRDefault="002253F7"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19.1 </w:t>
      </w:r>
      <w:r w:rsidRPr="002253F7">
        <w:rPr>
          <w:rFonts w:ascii="Times New Roman" w:hAnsi="Times New Roman" w:cs="Times New Roman"/>
          <w:b/>
          <w:color w:val="000000"/>
        </w:rPr>
        <w:t>“Change in Control of NuScale”</w:t>
      </w:r>
      <w:r>
        <w:rPr>
          <w:rFonts w:ascii="Times New Roman" w:hAnsi="Times New Roman" w:cs="Times New Roman"/>
          <w:color w:val="000000"/>
        </w:rPr>
        <w:t>, respectively Chapter 19.2 “</w:t>
      </w:r>
      <w:r w:rsidRPr="002253F7">
        <w:rPr>
          <w:rFonts w:ascii="Times New Roman" w:hAnsi="Times New Roman" w:cs="Times New Roman"/>
          <w:b/>
          <w:color w:val="000000"/>
        </w:rPr>
        <w:t>Change in Control of Any Other Subcontractor”</w:t>
      </w:r>
      <w:r>
        <w:rPr>
          <w:rFonts w:ascii="Times New Roman" w:hAnsi="Times New Roman" w:cs="Times New Roman"/>
          <w:color w:val="000000"/>
        </w:rPr>
        <w:t>, regarding certain modifications in the shareholders or management structure of NuScale;</w:t>
      </w:r>
    </w:p>
    <w:p w14:paraId="35FF340E" w14:textId="6AF1921C" w:rsidR="00605CC8" w:rsidRPr="00605CC8" w:rsidRDefault="002253F7" w:rsidP="00605CC8">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The definition and interpretation of terms regarding NuScale abandonment events, respectively the definition and interpretation of NuScale Intellectual Property from annex</w:t>
      </w:r>
      <w:r w:rsidR="00605CC8">
        <w:rPr>
          <w:rFonts w:ascii="Times New Roman" w:hAnsi="Times New Roman" w:cs="Times New Roman"/>
          <w:color w:val="000000"/>
        </w:rPr>
        <w:t xml:space="preserve"> </w:t>
      </w:r>
      <w:r>
        <w:rPr>
          <w:rFonts w:ascii="Times New Roman" w:hAnsi="Times New Roman" w:cs="Times New Roman"/>
          <w:color w:val="000000"/>
        </w:rPr>
        <w:t>“</w:t>
      </w:r>
      <w:r w:rsidRPr="00605CC8">
        <w:rPr>
          <w:rFonts w:ascii="Times New Roman" w:hAnsi="Times New Roman" w:cs="Times New Roman"/>
          <w:b/>
          <w:color w:val="000000"/>
        </w:rPr>
        <w:t>Schedule A Definitions and Interpretation Part 1</w:t>
      </w:r>
      <w:r>
        <w:rPr>
          <w:rFonts w:ascii="Times New Roman" w:hAnsi="Times New Roman" w:cs="Times New Roman"/>
          <w:color w:val="000000"/>
        </w:rPr>
        <w:t>”;</w:t>
      </w:r>
    </w:p>
    <w:p w14:paraId="078D5452" w14:textId="04BA96C1"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B FEED Phase 2 Services</w:t>
      </w:r>
      <w:r w:rsidRPr="00EB018C">
        <w:rPr>
          <w:rFonts w:ascii="Times New Roman" w:hAnsi="Times New Roman" w:cs="Times New Roman"/>
          <w:color w:val="000000"/>
        </w:rPr>
        <w:t>” which presents in detail engineering and design services of FEED Phase 2;</w:t>
      </w:r>
    </w:p>
    <w:p w14:paraId="53E88F0D" w14:textId="13D141E2" w:rsidR="00686144"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C Contractor Deliverables</w:t>
      </w:r>
      <w:r w:rsidRPr="00EB018C">
        <w:rPr>
          <w:rFonts w:ascii="Times New Roman" w:hAnsi="Times New Roman" w:cs="Times New Roman"/>
          <w:color w:val="000000"/>
        </w:rPr>
        <w:t>” which presents in great detail all deliverables and activities performed by the contractor for the execution of FEED Phase 2;</w:t>
      </w:r>
    </w:p>
    <w:p w14:paraId="5DD93086" w14:textId="51917F26" w:rsidR="00CB5BAF" w:rsidRPr="00EB018C" w:rsidRDefault="00C12408"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Information regarding cost breakdown and certain activities or information included in annex </w:t>
      </w:r>
      <w:r w:rsidRPr="00C507EC">
        <w:rPr>
          <w:rFonts w:ascii="Times New Roman" w:hAnsi="Times New Roman" w:cs="Times New Roman"/>
          <w:b/>
          <w:color w:val="000000"/>
        </w:rPr>
        <w:t>“Schedule D1 Milestone Table”</w:t>
      </w:r>
      <w:r>
        <w:rPr>
          <w:rFonts w:ascii="Times New Roman" w:hAnsi="Times New Roman" w:cs="Times New Roman"/>
          <w:color w:val="000000"/>
        </w:rPr>
        <w:t xml:space="preserve">, annex </w:t>
      </w:r>
      <w:r w:rsidRPr="00C507EC">
        <w:rPr>
          <w:rFonts w:ascii="Times New Roman" w:hAnsi="Times New Roman" w:cs="Times New Roman"/>
          <w:b/>
          <w:color w:val="000000"/>
        </w:rPr>
        <w:t>“Schedule D2 Commercials”</w:t>
      </w:r>
      <w:r>
        <w:rPr>
          <w:rFonts w:ascii="Times New Roman" w:hAnsi="Times New Roman" w:cs="Times New Roman"/>
          <w:color w:val="000000"/>
        </w:rPr>
        <w:t>, respectively annex</w:t>
      </w:r>
      <w:r w:rsidR="00965D23">
        <w:rPr>
          <w:rFonts w:ascii="Times New Roman" w:hAnsi="Times New Roman" w:cs="Times New Roman"/>
          <w:color w:val="000000"/>
        </w:rPr>
        <w:t xml:space="preserve"> </w:t>
      </w:r>
      <w:r w:rsidRPr="00C507EC">
        <w:rPr>
          <w:rFonts w:ascii="Times New Roman" w:hAnsi="Times New Roman" w:cs="Times New Roman"/>
          <w:b/>
          <w:color w:val="000000"/>
        </w:rPr>
        <w:t>“Schedule D3 Project Objectives and Structure”</w:t>
      </w:r>
      <w:r>
        <w:rPr>
          <w:rFonts w:ascii="Times New Roman" w:hAnsi="Times New Roman" w:cs="Times New Roman"/>
          <w:color w:val="000000"/>
        </w:rPr>
        <w:t>;</w:t>
      </w:r>
    </w:p>
    <w:p w14:paraId="1BC4C795" w14:textId="4939A0FE"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w:t>
      </w:r>
      <w:r w:rsidR="00CB5BAF">
        <w:rPr>
          <w:rFonts w:ascii="Times New Roman" w:hAnsi="Times New Roman" w:cs="Times New Roman"/>
          <w:color w:val="000000"/>
        </w:rPr>
        <w:t>n</w:t>
      </w:r>
      <w:r w:rsidRPr="00EB018C">
        <w:rPr>
          <w:rFonts w:ascii="Times New Roman" w:hAnsi="Times New Roman" w:cs="Times New Roman"/>
          <w:color w:val="000000"/>
        </w:rPr>
        <w:t>e</w:t>
      </w:r>
      <w:r w:rsidR="00CB5BAF">
        <w:rPr>
          <w:rFonts w:ascii="Times New Roman" w:hAnsi="Times New Roman" w:cs="Times New Roman"/>
          <w:color w:val="000000"/>
        </w:rPr>
        <w:t>x</w:t>
      </w:r>
      <w:r w:rsidRPr="00EB018C">
        <w:rPr>
          <w:rFonts w:ascii="Times New Roman" w:hAnsi="Times New Roman" w:cs="Times New Roman"/>
          <w:color w:val="000000"/>
        </w:rPr>
        <w:t xml:space="preserve"> “</w:t>
      </w:r>
      <w:r w:rsidRPr="00EB018C">
        <w:rPr>
          <w:rFonts w:ascii="Times New Roman" w:hAnsi="Times New Roman" w:cs="Times New Roman"/>
          <w:b/>
          <w:color w:val="000000"/>
        </w:rPr>
        <w:t>Schedule E1 Parent Company Guarantee”</w:t>
      </w:r>
      <w:r w:rsidRPr="00EB018C">
        <w:rPr>
          <w:rFonts w:ascii="Times New Roman" w:hAnsi="Times New Roman" w:cs="Times New Roman"/>
          <w:color w:val="000000"/>
        </w:rPr>
        <w:t xml:space="preserve"> which presents in detail the contractual mechanism that governs the parent company guarantee;</w:t>
      </w:r>
    </w:p>
    <w:p w14:paraId="67295B25" w14:textId="1D84A566"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E2 Form of Performance Bond</w:t>
      </w:r>
      <w:r w:rsidRPr="00EB018C">
        <w:rPr>
          <w:rFonts w:ascii="Times New Roman" w:hAnsi="Times New Roman" w:cs="Times New Roman"/>
          <w:color w:val="000000"/>
        </w:rPr>
        <w:t>” which presents in detail the contractual mechanism through which the performance bond for FEED Phase 2 execution is enabled;</w:t>
      </w:r>
    </w:p>
    <w:p w14:paraId="389A873D" w14:textId="52FFDE7C"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F</w:t>
      </w:r>
      <w:r w:rsidRPr="00EB018C">
        <w:rPr>
          <w:rFonts w:ascii="Times New Roman" w:hAnsi="Times New Roman" w:cs="Times New Roman"/>
          <w:color w:val="000000"/>
        </w:rPr>
        <w:t xml:space="preserve"> </w:t>
      </w:r>
      <w:r w:rsidRPr="00EB018C">
        <w:rPr>
          <w:rFonts w:ascii="Times New Roman" w:hAnsi="Times New Roman" w:cs="Times New Roman"/>
          <w:b/>
          <w:color w:val="000000"/>
        </w:rPr>
        <w:t>Form of Variation Order</w:t>
      </w:r>
      <w:r w:rsidRPr="00EB018C">
        <w:rPr>
          <w:rFonts w:ascii="Times New Roman" w:hAnsi="Times New Roman" w:cs="Times New Roman"/>
          <w:color w:val="000000"/>
        </w:rPr>
        <w:t>” which presents the process through which potential variation orders may be addressed during FEED Phase 2 contract;</w:t>
      </w:r>
    </w:p>
    <w:p w14:paraId="1B42FF1C" w14:textId="43A9A7EC"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G Form of Contractor Invoice</w:t>
      </w:r>
      <w:r w:rsidRPr="00EB018C">
        <w:rPr>
          <w:rFonts w:ascii="Times New Roman" w:hAnsi="Times New Roman" w:cs="Times New Roman"/>
          <w:color w:val="000000"/>
        </w:rPr>
        <w:t xml:space="preserve">” which presents the invoicing mechanism for FEED Phase 2 deliverables;  </w:t>
      </w:r>
    </w:p>
    <w:p w14:paraId="7441A7BD" w14:textId="5C559731"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H Codes and Standards</w:t>
      </w:r>
      <w:r w:rsidRPr="00EB018C">
        <w:rPr>
          <w:rFonts w:ascii="Times New Roman" w:hAnsi="Times New Roman" w:cs="Times New Roman"/>
          <w:color w:val="000000"/>
        </w:rPr>
        <w:t>” which presents in detail the codes and standards utilized in the execution of services during FEED Phase 2;</w:t>
      </w:r>
    </w:p>
    <w:p w14:paraId="15CD044F" w14:textId="5CF77CB6"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I Deliverable Schedule</w:t>
      </w:r>
      <w:r w:rsidRPr="00EB018C">
        <w:rPr>
          <w:rFonts w:ascii="Times New Roman" w:hAnsi="Times New Roman" w:cs="Times New Roman"/>
          <w:color w:val="000000"/>
        </w:rPr>
        <w:t xml:space="preserve">” which presents in detail the calendar of FEED Phase 2 deliverables; </w:t>
      </w:r>
    </w:p>
    <w:p w14:paraId="752B0DE8" w14:textId="5F16AFE5"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J Approved Subcontractors</w:t>
      </w:r>
      <w:r w:rsidRPr="00EB018C">
        <w:rPr>
          <w:rFonts w:ascii="Times New Roman" w:hAnsi="Times New Roman" w:cs="Times New Roman"/>
          <w:color w:val="000000"/>
        </w:rPr>
        <w:t>” which presents the subcontractors list approved for conducting FEED Phase 2 activities;</w:t>
      </w:r>
    </w:p>
    <w:p w14:paraId="0FC17ADD" w14:textId="2C4C75F3"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K Contractor Permits Licenses</w:t>
      </w:r>
      <w:r w:rsidRPr="00EB018C">
        <w:rPr>
          <w:rFonts w:ascii="Times New Roman" w:hAnsi="Times New Roman" w:cs="Times New Roman"/>
          <w:color w:val="000000"/>
        </w:rPr>
        <w:t xml:space="preserve">” which contains list of certificates and authorizations obtained by the contractor in order to perform FEED Phase 2 services; </w:t>
      </w:r>
    </w:p>
    <w:p w14:paraId="0C933440" w14:textId="3616510B"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L Insurance Document</w:t>
      </w:r>
      <w:r w:rsidRPr="00EB018C">
        <w:rPr>
          <w:rFonts w:ascii="Times New Roman" w:hAnsi="Times New Roman" w:cs="Times New Roman"/>
          <w:color w:val="000000"/>
        </w:rPr>
        <w:t xml:space="preserve">” regarding insurances with respect to FEED </w:t>
      </w:r>
      <w:r w:rsidRPr="00EB018C">
        <w:rPr>
          <w:rFonts w:ascii="Times New Roman" w:hAnsi="Times New Roman" w:cs="Times New Roman"/>
          <w:color w:val="000000"/>
        </w:rPr>
        <w:lastRenderedPageBreak/>
        <w:t xml:space="preserve">Phase 2 contracts; </w:t>
      </w:r>
    </w:p>
    <w:p w14:paraId="06482510" w14:textId="11F87305"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M Key Personnel</w:t>
      </w:r>
      <w:r w:rsidRPr="00EB018C">
        <w:rPr>
          <w:rFonts w:ascii="Times New Roman" w:hAnsi="Times New Roman" w:cs="Times New Roman"/>
          <w:color w:val="000000"/>
        </w:rPr>
        <w:t xml:space="preserve">” which presents the Resume of key personnel, represented herein by the Contractor’s Project Director for FEED Phase 2; </w:t>
      </w:r>
    </w:p>
    <w:p w14:paraId="18C297EE" w14:textId="24BDE615"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N Procurement</w:t>
      </w:r>
      <w:r w:rsidRPr="00EB018C">
        <w:rPr>
          <w:rFonts w:ascii="Times New Roman" w:hAnsi="Times New Roman" w:cs="Times New Roman"/>
          <w:color w:val="000000"/>
        </w:rPr>
        <w:t xml:space="preserve">” which presents procurement procedures that are to be utilized during the execution of FEED Phase 2; </w:t>
      </w:r>
    </w:p>
    <w:p w14:paraId="7C4B3304" w14:textId="007888AE"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O1 20 Days Review Process by RoPower</w:t>
      </w:r>
      <w:r w:rsidRPr="00EB018C">
        <w:rPr>
          <w:rFonts w:ascii="Times New Roman" w:hAnsi="Times New Roman" w:cs="Times New Roman"/>
          <w:color w:val="000000"/>
        </w:rPr>
        <w:t>” which presents in detail the deliverables list with a 20-day review process period by RoPower;</w:t>
      </w:r>
    </w:p>
    <w:p w14:paraId="6BF10B13" w14:textId="13961CDC"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O2 20 Days Review Process by RoPower &amp; Authorities</w:t>
      </w:r>
      <w:r w:rsidRPr="00EB018C">
        <w:rPr>
          <w:rFonts w:ascii="Times New Roman" w:hAnsi="Times New Roman" w:cs="Times New Roman"/>
          <w:color w:val="000000"/>
        </w:rPr>
        <w:t>” which presents in detail the deliverables list with a 20-day review process period by RoPower and authorities;</w:t>
      </w:r>
    </w:p>
    <w:p w14:paraId="1942C407" w14:textId="7294BD65"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O3 10 Days Review Process</w:t>
      </w:r>
      <w:r w:rsidRPr="00EB018C">
        <w:rPr>
          <w:rFonts w:ascii="Times New Roman" w:hAnsi="Times New Roman" w:cs="Times New Roman"/>
          <w:color w:val="000000"/>
        </w:rPr>
        <w:t>” which presents in detail the deliverables list with a 10-day review process period;</w:t>
      </w:r>
    </w:p>
    <w:p w14:paraId="3166F837" w14:textId="78033476"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O4 2 Days Review Proces by RoPower</w:t>
      </w:r>
      <w:r w:rsidRPr="00EB018C">
        <w:rPr>
          <w:rFonts w:ascii="Times New Roman" w:hAnsi="Times New Roman" w:cs="Times New Roman"/>
          <w:color w:val="000000"/>
        </w:rPr>
        <w:t>” which presents in detail the deliverables list with a 2-day review process period by RoPower;</w:t>
      </w:r>
    </w:p>
    <w:p w14:paraId="564D2E3F" w14:textId="132B4CE2"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P Rely Upon Information</w:t>
      </w:r>
      <w:r w:rsidRPr="00EB018C">
        <w:rPr>
          <w:rFonts w:ascii="Times New Roman" w:hAnsi="Times New Roman" w:cs="Times New Roman"/>
          <w:color w:val="000000"/>
        </w:rPr>
        <w:t>” which presents a list of reference information (i.e. FEED Phase 2 deliverables, Licensing Basis Document, NuScale deliverables within the Technology License Agreement, other technical information) which shall constitute the basis for the execution of activities covered in the contract;</w:t>
      </w:r>
    </w:p>
    <w:p w14:paraId="69F3FFAD" w14:textId="0BFC1E94"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Q Summary of Activities (HG907/2016)</w:t>
      </w:r>
      <w:r w:rsidRPr="00EB018C">
        <w:rPr>
          <w:rFonts w:ascii="Times New Roman" w:hAnsi="Times New Roman" w:cs="Times New Roman"/>
          <w:color w:val="000000"/>
        </w:rPr>
        <w:t xml:space="preserve">” which presents the breakdown of responsibilities regarding execution of activities required to meet legal requirements for developing feasibility studies; </w:t>
      </w:r>
    </w:p>
    <w:p w14:paraId="50A4730D" w14:textId="61C65917"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R Form of Weekly &amp; Monthly Progress Report</w:t>
      </w:r>
      <w:r w:rsidRPr="00EB018C">
        <w:rPr>
          <w:rFonts w:ascii="Times New Roman" w:hAnsi="Times New Roman" w:cs="Times New Roman"/>
          <w:color w:val="000000"/>
        </w:rPr>
        <w:t xml:space="preserve">” which presents the structure of the recurrent reports required to monitor Project evolution during FEED Phase 2; </w:t>
      </w:r>
    </w:p>
    <w:p w14:paraId="4FDEA671" w14:textId="39E777DA"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S Final Acceptance Certificate</w:t>
      </w:r>
      <w:r w:rsidRPr="00EB018C">
        <w:rPr>
          <w:rFonts w:ascii="Times New Roman" w:hAnsi="Times New Roman" w:cs="Times New Roman"/>
          <w:color w:val="000000"/>
        </w:rPr>
        <w:t>” which presents the final acceptance certificate form for FEED Phase 2 deliverables;</w:t>
      </w:r>
    </w:p>
    <w:p w14:paraId="2BA42C65" w14:textId="0EA18CF1" w:rsidR="00686144" w:rsidRPr="00EB018C"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T Priority Deliverables</w:t>
      </w:r>
      <w:r w:rsidRPr="00EB018C">
        <w:rPr>
          <w:rFonts w:ascii="Times New Roman" w:hAnsi="Times New Roman" w:cs="Times New Roman"/>
          <w:color w:val="000000"/>
        </w:rPr>
        <w:t xml:space="preserve">” which presents the list of priority deliverables for FEED Phase 2 and the contractual deadlines for these; </w:t>
      </w:r>
    </w:p>
    <w:p w14:paraId="5447F562" w14:textId="04304E1C" w:rsidR="00686144" w:rsidRDefault="00686144" w:rsidP="00686144">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U Liquidated Damages</w:t>
      </w:r>
      <w:r w:rsidRPr="00EB018C">
        <w:rPr>
          <w:rFonts w:ascii="Times New Roman" w:hAnsi="Times New Roman" w:cs="Times New Roman"/>
          <w:color w:val="000000"/>
        </w:rPr>
        <w:t>” which presents the list of penalties and the mechanism applicable in the case of priority deliverables in FEED Phase 2.</w:t>
      </w:r>
    </w:p>
    <w:p w14:paraId="4C313DE5" w14:textId="4EC54017" w:rsidR="007711A3" w:rsidRDefault="007711A3" w:rsidP="007711A3">
      <w:pPr>
        <w:widowControl w:val="0"/>
        <w:autoSpaceDE w:val="0"/>
        <w:autoSpaceDN w:val="0"/>
        <w:adjustRightInd w:val="0"/>
        <w:spacing w:after="0" w:line="240" w:lineRule="auto"/>
        <w:ind w:right="-23"/>
        <w:jc w:val="both"/>
        <w:rPr>
          <w:rFonts w:ascii="Times New Roman" w:hAnsi="Times New Roman" w:cs="Times New Roman"/>
          <w:color w:val="000000"/>
        </w:rPr>
      </w:pPr>
    </w:p>
    <w:p w14:paraId="00388FB8" w14:textId="32F5DF9A" w:rsidR="007711A3" w:rsidRDefault="007711A3" w:rsidP="007711A3">
      <w:pPr>
        <w:widowControl w:val="0"/>
        <w:autoSpaceDE w:val="0"/>
        <w:autoSpaceDN w:val="0"/>
        <w:adjustRightInd w:val="0"/>
        <w:spacing w:after="0" w:line="240" w:lineRule="auto"/>
        <w:ind w:left="720" w:right="-23"/>
        <w:jc w:val="both"/>
        <w:rPr>
          <w:rFonts w:ascii="Times New Roman" w:hAnsi="Times New Roman" w:cs="Times New Roman"/>
          <w:color w:val="000000"/>
        </w:rPr>
      </w:pPr>
      <w:r>
        <w:rPr>
          <w:rFonts w:ascii="Times New Roman" w:hAnsi="Times New Roman" w:cs="Times New Roman"/>
          <w:color w:val="000000"/>
        </w:rPr>
        <w:t>Is being conditioned by the Shareholder signing a Confidentiality Agreement to protect the information provided.</w:t>
      </w:r>
    </w:p>
    <w:p w14:paraId="40A36E71" w14:textId="15FD02E3" w:rsidR="00E844CD" w:rsidRDefault="00E844CD" w:rsidP="00E844CD">
      <w:pPr>
        <w:widowControl w:val="0"/>
        <w:autoSpaceDE w:val="0"/>
        <w:autoSpaceDN w:val="0"/>
        <w:adjustRightInd w:val="0"/>
        <w:spacing w:after="0" w:line="240" w:lineRule="auto"/>
        <w:ind w:right="-23"/>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Regarding the two FEED 2 contracts, both the “Offshore” and the “Onshore” share the same annexes.</w:t>
      </w:r>
    </w:p>
    <w:p w14:paraId="58D0B1A0" w14:textId="77777777" w:rsidR="00E844CD" w:rsidRDefault="00E844CD" w:rsidP="00E844CD">
      <w:pPr>
        <w:widowControl w:val="0"/>
        <w:autoSpaceDE w:val="0"/>
        <w:autoSpaceDN w:val="0"/>
        <w:adjustRightInd w:val="0"/>
        <w:spacing w:after="0" w:line="240" w:lineRule="auto"/>
        <w:ind w:right="-23"/>
        <w:jc w:val="both"/>
        <w:rPr>
          <w:rFonts w:ascii="Times New Roman" w:hAnsi="Times New Roman" w:cs="Times New Roman"/>
          <w:color w:val="000000"/>
        </w:rPr>
      </w:pPr>
    </w:p>
    <w:p w14:paraId="1D8FF342" w14:textId="77777777" w:rsidR="00E844CD" w:rsidRPr="007711A3" w:rsidRDefault="00E844CD" w:rsidP="007711A3">
      <w:pPr>
        <w:widowControl w:val="0"/>
        <w:autoSpaceDE w:val="0"/>
        <w:autoSpaceDN w:val="0"/>
        <w:adjustRightInd w:val="0"/>
        <w:spacing w:after="0" w:line="240" w:lineRule="auto"/>
        <w:ind w:left="720" w:right="-23"/>
        <w:jc w:val="both"/>
        <w:rPr>
          <w:rFonts w:ascii="Times New Roman" w:hAnsi="Times New Roman" w:cs="Times New Roman"/>
          <w:color w:val="000000"/>
        </w:rPr>
      </w:pPr>
    </w:p>
    <w:p w14:paraId="52586ADB" w14:textId="77777777" w:rsidR="00E1729E" w:rsidRPr="00EB018C" w:rsidRDefault="00E1729E" w:rsidP="00E1729E">
      <w:pPr>
        <w:pStyle w:val="ListParagraph"/>
        <w:ind w:left="1440"/>
        <w:jc w:val="both"/>
        <w:rPr>
          <w:rFonts w:ascii="Times New Roman" w:hAnsi="Times New Roman" w:cs="Times New Roman"/>
          <w:bCs/>
        </w:rPr>
      </w:pPr>
    </w:p>
    <w:p w14:paraId="66885DCD" w14:textId="7B53CE0C" w:rsidR="00461448" w:rsidRPr="006620D2" w:rsidRDefault="001655D8" w:rsidP="006620D2">
      <w:pPr>
        <w:pStyle w:val="ListParagraph"/>
        <w:widowControl w:val="0"/>
        <w:numPr>
          <w:ilvl w:val="1"/>
          <w:numId w:val="17"/>
        </w:numPr>
        <w:autoSpaceDE w:val="0"/>
        <w:autoSpaceDN w:val="0"/>
        <w:adjustRightInd w:val="0"/>
        <w:spacing w:after="0" w:line="240" w:lineRule="auto"/>
        <w:ind w:right="-23"/>
        <w:jc w:val="both"/>
        <w:rPr>
          <w:rFonts w:ascii="Times New Roman" w:hAnsi="Times New Roman" w:cs="Times New Roman"/>
          <w:color w:val="000000"/>
        </w:rPr>
      </w:pPr>
      <w:r w:rsidRPr="006620D2">
        <w:rPr>
          <w:rFonts w:ascii="Times New Roman" w:hAnsi="Times New Roman" w:cs="Times New Roman"/>
          <w:b/>
          <w:color w:val="000000"/>
        </w:rPr>
        <w:t xml:space="preserve">Access to </w:t>
      </w:r>
      <w:r w:rsidR="007711A3" w:rsidRPr="006620D2">
        <w:rPr>
          <w:rFonts w:ascii="Times New Roman" w:hAnsi="Times New Roman" w:cs="Times New Roman"/>
          <w:b/>
          <w:color w:val="000000"/>
        </w:rPr>
        <w:t>the</w:t>
      </w:r>
      <w:r w:rsidRPr="006620D2">
        <w:rPr>
          <w:rFonts w:ascii="Times New Roman" w:hAnsi="Times New Roman" w:cs="Times New Roman"/>
          <w:b/>
          <w:color w:val="000000"/>
        </w:rPr>
        <w:t xml:space="preserve"> </w:t>
      </w:r>
      <w:r w:rsidR="00461448" w:rsidRPr="006620D2">
        <w:rPr>
          <w:rFonts w:ascii="Times New Roman" w:hAnsi="Times New Roman" w:cs="Times New Roman"/>
          <w:b/>
          <w:color w:val="000000"/>
        </w:rPr>
        <w:t xml:space="preserve">Technology License Agreement </w:t>
      </w:r>
      <w:r w:rsidR="00461448" w:rsidRPr="006620D2">
        <w:rPr>
          <w:rFonts w:ascii="Times New Roman" w:hAnsi="Times New Roman" w:cs="Times New Roman"/>
          <w:color w:val="000000"/>
        </w:rPr>
        <w:t>(“TLA”)</w:t>
      </w:r>
      <w:r w:rsidR="00042C4D">
        <w:rPr>
          <w:rFonts w:ascii="Times New Roman" w:hAnsi="Times New Roman" w:cs="Times New Roman"/>
          <w:color w:val="000000"/>
        </w:rPr>
        <w:t xml:space="preserve">, with the exception of the information from annex </w:t>
      </w:r>
      <w:r w:rsidR="00042C4D" w:rsidRPr="00042C4D">
        <w:rPr>
          <w:rFonts w:ascii="Times New Roman" w:hAnsi="Times New Roman" w:cs="Times New Roman"/>
          <w:b/>
          <w:color w:val="000000"/>
        </w:rPr>
        <w:t>“Exhibit A Licensed Technology”,</w:t>
      </w:r>
      <w:r w:rsidR="00042C4D">
        <w:rPr>
          <w:rFonts w:ascii="Times New Roman" w:hAnsi="Times New Roman" w:cs="Times New Roman"/>
          <w:color w:val="000000"/>
        </w:rPr>
        <w:t xml:space="preserve"> respectively annex </w:t>
      </w:r>
      <w:r w:rsidR="00042C4D" w:rsidRPr="00042C4D">
        <w:rPr>
          <w:rFonts w:ascii="Times New Roman" w:hAnsi="Times New Roman" w:cs="Times New Roman"/>
          <w:b/>
          <w:color w:val="000000"/>
        </w:rPr>
        <w:t xml:space="preserve">“Exhibit B Form of </w:t>
      </w:r>
      <w:proofErr w:type="spellStart"/>
      <w:r w:rsidR="00042C4D" w:rsidRPr="00042C4D">
        <w:rPr>
          <w:rFonts w:ascii="Times New Roman" w:hAnsi="Times New Roman" w:cs="Times New Roman"/>
          <w:b/>
          <w:color w:val="000000"/>
        </w:rPr>
        <w:t>NuScale</w:t>
      </w:r>
      <w:proofErr w:type="spellEnd"/>
      <w:r w:rsidR="00042C4D" w:rsidRPr="00042C4D">
        <w:rPr>
          <w:rFonts w:ascii="Times New Roman" w:hAnsi="Times New Roman" w:cs="Times New Roman"/>
          <w:b/>
          <w:color w:val="000000"/>
        </w:rPr>
        <w:t xml:space="preserve"> Invoice”, </w:t>
      </w:r>
      <w:r w:rsidR="006620D2" w:rsidRPr="006620D2">
        <w:rPr>
          <w:rFonts w:ascii="Times New Roman" w:hAnsi="Times New Roman" w:cs="Times New Roman"/>
          <w:color w:val="000000"/>
        </w:rPr>
        <w:t>is being conditioned by the Shareholder signing a Confidentiality Agreement to protect the information provided.</w:t>
      </w:r>
    </w:p>
    <w:p w14:paraId="188370D2" w14:textId="77777777" w:rsidR="00461448" w:rsidRPr="00EB018C" w:rsidRDefault="00461448" w:rsidP="00461448">
      <w:pPr>
        <w:pStyle w:val="ListParagraph"/>
        <w:rPr>
          <w:rFonts w:ascii="Times New Roman" w:hAnsi="Times New Roman" w:cs="Times New Roman"/>
          <w:bCs/>
        </w:rPr>
      </w:pPr>
    </w:p>
    <w:p w14:paraId="058BE702" w14:textId="0D4F401D" w:rsidR="00461448" w:rsidRPr="00EB018C" w:rsidRDefault="007711A3" w:rsidP="00461448">
      <w:pPr>
        <w:pStyle w:val="ListParagraph"/>
        <w:numPr>
          <w:ilvl w:val="1"/>
          <w:numId w:val="17"/>
        </w:numPr>
        <w:jc w:val="both"/>
        <w:rPr>
          <w:rFonts w:ascii="Times New Roman" w:hAnsi="Times New Roman" w:cs="Times New Roman"/>
          <w:bCs/>
        </w:rPr>
      </w:pPr>
      <w:r>
        <w:rPr>
          <w:rFonts w:ascii="Times New Roman" w:hAnsi="Times New Roman" w:cs="Times New Roman"/>
          <w:b/>
        </w:rPr>
        <w:t xml:space="preserve">Access to </w:t>
      </w:r>
      <w:r w:rsidR="006620D2">
        <w:rPr>
          <w:rFonts w:ascii="Times New Roman" w:hAnsi="Times New Roman" w:cs="Times New Roman"/>
          <w:b/>
        </w:rPr>
        <w:t>the</w:t>
      </w:r>
      <w:r w:rsidR="00D80145">
        <w:rPr>
          <w:rFonts w:ascii="Times New Roman" w:hAnsi="Times New Roman" w:cs="Times New Roman"/>
          <w:b/>
        </w:rPr>
        <w:t xml:space="preserve"> </w:t>
      </w:r>
      <w:r>
        <w:rPr>
          <w:rFonts w:ascii="Times New Roman" w:hAnsi="Times New Roman" w:cs="Times New Roman"/>
          <w:b/>
        </w:rPr>
        <w:t xml:space="preserve">Addendum no. 2  to the </w:t>
      </w:r>
      <w:r w:rsidR="00461448" w:rsidRPr="00EB018C">
        <w:rPr>
          <w:rFonts w:ascii="Times New Roman" w:hAnsi="Times New Roman" w:cs="Times New Roman"/>
          <w:b/>
        </w:rPr>
        <w:t>Loan Contract no. 1 from 16.08.2023</w:t>
      </w:r>
      <w:r w:rsidR="00461448" w:rsidRPr="000B0EE9">
        <w:rPr>
          <w:rFonts w:ascii="Times New Roman" w:hAnsi="Times New Roman" w:cs="Times New Roman"/>
        </w:rPr>
        <w:t xml:space="preserve">, </w:t>
      </w:r>
      <w:r w:rsidR="000F649B" w:rsidRPr="000B0EE9">
        <w:rPr>
          <w:rFonts w:ascii="Times New Roman" w:hAnsi="Times New Roman" w:cs="Times New Roman"/>
        </w:rPr>
        <w:t>with the exception of certain information from Art. 2.1 regarding the value already used by the Borrower,</w:t>
      </w:r>
      <w:r w:rsidR="000F649B">
        <w:rPr>
          <w:rFonts w:ascii="Times New Roman" w:hAnsi="Times New Roman" w:cs="Times New Roman"/>
          <w:b/>
        </w:rPr>
        <w:t xml:space="preserve"> </w:t>
      </w:r>
      <w:r w:rsidR="006620D2" w:rsidRPr="006620D2">
        <w:rPr>
          <w:rFonts w:ascii="Times New Roman" w:hAnsi="Times New Roman" w:cs="Times New Roman"/>
          <w:color w:val="000000"/>
        </w:rPr>
        <w:t>is being conditioned by the Shareholder signing a Confidentiality Agreement to protect the information provided.</w:t>
      </w:r>
    </w:p>
    <w:p w14:paraId="6329EC79" w14:textId="77777777" w:rsidR="00461448" w:rsidRPr="00EB018C" w:rsidRDefault="00461448" w:rsidP="00461448">
      <w:pPr>
        <w:pStyle w:val="ListParagraph"/>
        <w:jc w:val="both"/>
        <w:rPr>
          <w:rFonts w:ascii="Times New Roman" w:hAnsi="Times New Roman" w:cs="Times New Roman"/>
          <w:bCs/>
        </w:rPr>
      </w:pPr>
    </w:p>
    <w:p w14:paraId="185B57A5" w14:textId="771AFD46" w:rsidR="00E507FB" w:rsidRPr="006620D2" w:rsidRDefault="00D80145" w:rsidP="006620D2">
      <w:pPr>
        <w:pStyle w:val="ListParagraph"/>
        <w:numPr>
          <w:ilvl w:val="1"/>
          <w:numId w:val="17"/>
        </w:numPr>
        <w:jc w:val="both"/>
        <w:rPr>
          <w:rFonts w:ascii="Times New Roman" w:hAnsi="Times New Roman" w:cs="Times New Roman"/>
          <w:bCs/>
        </w:rPr>
      </w:pPr>
      <w:r>
        <w:rPr>
          <w:rFonts w:ascii="Times New Roman" w:hAnsi="Times New Roman" w:cs="Times New Roman"/>
          <w:b/>
        </w:rPr>
        <w:t xml:space="preserve">Access to the Addendum no. 2 to the </w:t>
      </w:r>
      <w:r w:rsidR="00461448" w:rsidRPr="00EB018C">
        <w:rPr>
          <w:rFonts w:ascii="Times New Roman" w:hAnsi="Times New Roman" w:cs="Times New Roman"/>
          <w:b/>
        </w:rPr>
        <w:t>Mortgage Contract with SNN</w:t>
      </w:r>
      <w:r w:rsidR="006620D2" w:rsidRPr="000B0EE9">
        <w:rPr>
          <w:rFonts w:ascii="Times New Roman" w:hAnsi="Times New Roman" w:cs="Times New Roman"/>
        </w:rPr>
        <w:t xml:space="preserve">, </w:t>
      </w:r>
      <w:r w:rsidR="00323269" w:rsidRPr="000B0EE9">
        <w:rPr>
          <w:rFonts w:ascii="Times New Roman" w:hAnsi="Times New Roman" w:cs="Times New Roman"/>
        </w:rPr>
        <w:t>with the exception of certain information from Art. 1.1 regarding the provisions of the mortgage,</w:t>
      </w:r>
      <w:r w:rsidR="00323269">
        <w:rPr>
          <w:rFonts w:ascii="Times New Roman" w:hAnsi="Times New Roman" w:cs="Times New Roman"/>
          <w:b/>
        </w:rPr>
        <w:t xml:space="preserve"> </w:t>
      </w:r>
      <w:r w:rsidR="006620D2" w:rsidRPr="006620D2">
        <w:rPr>
          <w:rFonts w:ascii="Times New Roman" w:hAnsi="Times New Roman" w:cs="Times New Roman"/>
          <w:color w:val="000000"/>
        </w:rPr>
        <w:t>is being conditioned by the Shareholder signing a Confidentiality Agreement to protect the information provided.</w:t>
      </w:r>
    </w:p>
    <w:p w14:paraId="033E142F" w14:textId="77777777" w:rsidR="00E507FB" w:rsidRPr="00F865A8" w:rsidRDefault="001B6528">
      <w:pPr>
        <w:widowControl w:val="0"/>
        <w:tabs>
          <w:tab w:val="left" w:pos="851"/>
        </w:tabs>
        <w:spacing w:before="6" w:after="0" w:line="240" w:lineRule="auto"/>
        <w:ind w:right="123"/>
        <w:jc w:val="both"/>
        <w:rPr>
          <w:rFonts w:ascii="Times New Roman" w:eastAsia="Times New Roman" w:hAnsi="Times New Roman" w:cs="Times New Roman"/>
        </w:rPr>
      </w:pPr>
      <w:r w:rsidRPr="00F865A8">
        <w:rPr>
          <w:rFonts w:ascii="Times New Roman" w:hAnsi="Times New Roman" w:cs="Times New Roman"/>
        </w:rPr>
        <w:t>In addition to the terms defined in another part of this Agreement, the following definitions apply:</w:t>
      </w:r>
    </w:p>
    <w:p w14:paraId="7F990E3C" w14:textId="77777777" w:rsidR="00E507FB" w:rsidRPr="00F865A8" w:rsidRDefault="00E507FB">
      <w:pPr>
        <w:widowControl w:val="0"/>
        <w:tabs>
          <w:tab w:val="left" w:pos="851"/>
        </w:tabs>
        <w:spacing w:before="6" w:after="0" w:line="240" w:lineRule="auto"/>
        <w:ind w:right="123"/>
        <w:jc w:val="both"/>
        <w:rPr>
          <w:rFonts w:ascii="Times New Roman" w:eastAsia="Times New Roman" w:hAnsi="Times New Roman" w:cs="Times New Roman"/>
        </w:rPr>
      </w:pPr>
    </w:p>
    <w:p w14:paraId="2DC418B9" w14:textId="77777777" w:rsidR="00E507FB" w:rsidRPr="00F865A8" w:rsidRDefault="001B6528">
      <w:pPr>
        <w:pStyle w:val="BodyText"/>
        <w:spacing w:before="77"/>
        <w:ind w:left="0" w:right="30"/>
        <w:jc w:val="both"/>
        <w:rPr>
          <w:rFonts w:cs="Times New Roman"/>
          <w:sz w:val="22"/>
          <w:szCs w:val="22"/>
        </w:rPr>
      </w:pPr>
      <w:r w:rsidRPr="00F865A8">
        <w:rPr>
          <w:rFonts w:cs="Times New Roman"/>
          <w:b/>
          <w:sz w:val="22"/>
          <w:szCs w:val="22"/>
        </w:rPr>
        <w:t>Affiliate</w:t>
      </w:r>
      <w:r w:rsidRPr="00F865A8">
        <w:rPr>
          <w:rFonts w:cs="Times New Roman"/>
          <w:sz w:val="22"/>
          <w:szCs w:val="22"/>
        </w:rPr>
        <w:t>, in relation to any entity, refers to (i) any subsidiary and/or (ii) any branch, (iii) any headquarters, (iv) any subsidiary and/or branch of such a headquarters;</w:t>
      </w:r>
    </w:p>
    <w:p w14:paraId="56F5449A" w14:textId="77777777" w:rsidR="00E507FB" w:rsidRPr="00F865A8" w:rsidRDefault="00E507FB">
      <w:pPr>
        <w:pStyle w:val="BodyText"/>
        <w:ind w:left="0"/>
        <w:rPr>
          <w:rFonts w:cs="Times New Roman"/>
          <w:sz w:val="22"/>
          <w:szCs w:val="22"/>
        </w:rPr>
      </w:pPr>
    </w:p>
    <w:p w14:paraId="1A55A828" w14:textId="77777777" w:rsidR="00E507FB" w:rsidRPr="00F865A8" w:rsidRDefault="001B6528">
      <w:pPr>
        <w:pStyle w:val="BodyText"/>
        <w:spacing w:before="77"/>
        <w:ind w:left="0" w:right="30"/>
        <w:jc w:val="both"/>
        <w:rPr>
          <w:rFonts w:cs="Times New Roman"/>
          <w:sz w:val="22"/>
          <w:szCs w:val="22"/>
        </w:rPr>
      </w:pPr>
      <w:r w:rsidRPr="00F865A8">
        <w:rPr>
          <w:rFonts w:cs="Times New Roman"/>
          <w:b/>
          <w:sz w:val="22"/>
          <w:szCs w:val="22"/>
        </w:rPr>
        <w:t xml:space="preserve">Subsidiary, </w:t>
      </w:r>
      <w:r w:rsidRPr="00F865A8">
        <w:rPr>
          <w:rFonts w:cs="Times New Roman"/>
          <w:sz w:val="22"/>
          <w:szCs w:val="22"/>
        </w:rPr>
        <w:t>refers to</w:t>
      </w:r>
      <w:r w:rsidRPr="00F865A8">
        <w:rPr>
          <w:rFonts w:cs="Times New Roman"/>
          <w:b/>
          <w:sz w:val="22"/>
          <w:szCs w:val="22"/>
        </w:rPr>
        <w:t xml:space="preserve"> </w:t>
      </w:r>
      <w:r w:rsidRPr="00F865A8">
        <w:rPr>
          <w:rFonts w:cs="Times New Roman"/>
          <w:sz w:val="22"/>
          <w:szCs w:val="22"/>
        </w:rPr>
        <w:t>any dependent part of a company without legal personality as defined by the Law no. 31/1990 on companies;</w:t>
      </w:r>
    </w:p>
    <w:p w14:paraId="6320C2B2" w14:textId="77777777" w:rsidR="00E507FB" w:rsidRPr="00F865A8" w:rsidRDefault="001B6528">
      <w:pPr>
        <w:pStyle w:val="BodyText"/>
        <w:spacing w:before="77"/>
        <w:ind w:left="0" w:right="30"/>
        <w:jc w:val="both"/>
        <w:rPr>
          <w:rFonts w:cs="Times New Roman"/>
          <w:sz w:val="22"/>
          <w:szCs w:val="22"/>
        </w:rPr>
      </w:pPr>
      <w:r w:rsidRPr="00F865A8">
        <w:rPr>
          <w:rFonts w:cs="Times New Roman"/>
          <w:b/>
          <w:sz w:val="22"/>
          <w:szCs w:val="22"/>
        </w:rPr>
        <w:t>Branch</w:t>
      </w:r>
      <w:r w:rsidRPr="00F865A8">
        <w:rPr>
          <w:rFonts w:cs="Times New Roman"/>
          <w:sz w:val="22"/>
          <w:szCs w:val="22"/>
        </w:rPr>
        <w:t>, refers to any dependent part of a company having legal personality, established as one of the types of company listed under Article 2 of Law no. 31/1990 on companies, and under the terms provided for that type of company and having the legal status of the type of company as which they have been set up;</w:t>
      </w:r>
    </w:p>
    <w:p w14:paraId="768004FB" w14:textId="5FCC287C" w:rsidR="00A81834" w:rsidRDefault="001B6528" w:rsidP="00A81834">
      <w:pPr>
        <w:pStyle w:val="BodyText"/>
        <w:spacing w:before="190"/>
        <w:ind w:left="0" w:right="30"/>
        <w:jc w:val="both"/>
        <w:rPr>
          <w:rFonts w:cs="Times New Roman"/>
          <w:sz w:val="22"/>
          <w:szCs w:val="22"/>
        </w:rPr>
      </w:pPr>
      <w:r w:rsidRPr="00F865A8">
        <w:rPr>
          <w:rFonts w:cs="Times New Roman"/>
          <w:b/>
          <w:sz w:val="22"/>
          <w:szCs w:val="22"/>
        </w:rPr>
        <w:t>Confidential Information</w:t>
      </w:r>
      <w:r w:rsidRPr="00F865A8">
        <w:rPr>
          <w:rFonts w:cs="Times New Roman"/>
          <w:sz w:val="22"/>
          <w:szCs w:val="22"/>
        </w:rPr>
        <w:t xml:space="preserve"> refers to: </w:t>
      </w:r>
    </w:p>
    <w:p w14:paraId="65009865" w14:textId="6F8E76E0" w:rsidR="00211D1A" w:rsidRPr="00967631" w:rsidRDefault="00211D1A" w:rsidP="00947FB5">
      <w:pPr>
        <w:pStyle w:val="ListParagraph"/>
        <w:numPr>
          <w:ilvl w:val="0"/>
          <w:numId w:val="34"/>
        </w:numPr>
        <w:jc w:val="both"/>
        <w:rPr>
          <w:rFonts w:ascii="Times New Roman" w:hAnsi="Times New Roman" w:cs="Times New Roman"/>
          <w:bCs/>
        </w:rPr>
      </w:pPr>
      <w:r>
        <w:rPr>
          <w:rFonts w:ascii="Times New Roman" w:hAnsi="Times New Roman" w:cs="Times New Roman"/>
          <w:b/>
        </w:rPr>
        <w:t xml:space="preserve">The </w:t>
      </w:r>
      <w:r w:rsidRPr="00307D85">
        <w:rPr>
          <w:rFonts w:ascii="Times New Roman" w:hAnsi="Times New Roman" w:cs="Times New Roman"/>
          <w:b/>
        </w:rPr>
        <w:t>tripartite Shareholders/Investors Agreement (“SHA”</w:t>
      </w:r>
      <w:r w:rsidRPr="00307D85">
        <w:rPr>
          <w:rFonts w:ascii="Times New Roman" w:hAnsi="Times New Roman" w:cs="Times New Roman"/>
        </w:rPr>
        <w:t>) to be concluded between SNN, NOVA POWER and GAS SRL and DSPE BETA PRIVATE EQUITY FUND for the development of the SMR Project, in Doicești Romania, in the form negotiated between SNN and the Project Partners</w:t>
      </w:r>
      <w:r w:rsidR="00967631">
        <w:rPr>
          <w:rFonts w:ascii="Times New Roman" w:hAnsi="Times New Roman" w:cs="Times New Roman"/>
        </w:rPr>
        <w:t>;</w:t>
      </w:r>
    </w:p>
    <w:p w14:paraId="477373B3" w14:textId="77777777" w:rsidR="00967631" w:rsidRPr="00211D1A" w:rsidRDefault="00967631" w:rsidP="00967631">
      <w:pPr>
        <w:pStyle w:val="ListParagraph"/>
        <w:jc w:val="both"/>
        <w:rPr>
          <w:rFonts w:ascii="Times New Roman" w:hAnsi="Times New Roman" w:cs="Times New Roman"/>
          <w:bCs/>
        </w:rPr>
      </w:pPr>
    </w:p>
    <w:p w14:paraId="283BD332" w14:textId="78620FAF" w:rsidR="00947FB5" w:rsidRPr="00947FB5" w:rsidRDefault="00947FB5" w:rsidP="00947FB5">
      <w:pPr>
        <w:pStyle w:val="ListParagraph"/>
        <w:numPr>
          <w:ilvl w:val="0"/>
          <w:numId w:val="34"/>
        </w:numPr>
        <w:jc w:val="both"/>
        <w:rPr>
          <w:rFonts w:ascii="Times New Roman" w:hAnsi="Times New Roman" w:cs="Times New Roman"/>
          <w:bCs/>
        </w:rPr>
      </w:pPr>
      <w:r w:rsidRPr="00947FB5">
        <w:rPr>
          <w:rFonts w:ascii="Times New Roman" w:hAnsi="Times New Roman" w:cs="Times New Roman"/>
          <w:b/>
        </w:rPr>
        <w:t xml:space="preserve">FEED Phase 2 Contracts (“Offshore”, respectively “Onshore”), </w:t>
      </w:r>
      <w:r w:rsidRPr="00947FB5">
        <w:rPr>
          <w:rFonts w:ascii="Times New Roman" w:hAnsi="Times New Roman" w:cs="Times New Roman"/>
          <w:bCs/>
          <w:lang w:val="en"/>
        </w:rPr>
        <w:t xml:space="preserve">with the exception of </w:t>
      </w:r>
      <w:r w:rsidRPr="00947FB5">
        <w:rPr>
          <w:rFonts w:ascii="Times New Roman" w:hAnsi="Times New Roman" w:cs="Times New Roman"/>
        </w:rPr>
        <w:t>the information referring to the following:</w:t>
      </w:r>
    </w:p>
    <w:p w14:paraId="1A21F9B0" w14:textId="77777777"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10.2 </w:t>
      </w:r>
      <w:r w:rsidRPr="00EB5809">
        <w:rPr>
          <w:rFonts w:ascii="Times New Roman" w:hAnsi="Times New Roman" w:cs="Times New Roman"/>
          <w:b/>
          <w:color w:val="000000"/>
        </w:rPr>
        <w:t>“Contractor’s IP and Third-Party IP”</w:t>
      </w:r>
      <w:r>
        <w:rPr>
          <w:rFonts w:ascii="Times New Roman" w:hAnsi="Times New Roman" w:cs="Times New Roman"/>
          <w:color w:val="000000"/>
        </w:rPr>
        <w:t>, respectively Chapters 10.2.1 and 10.2.2 regarding Intellectual Property rights of the Contractor and of a third Party;</w:t>
      </w:r>
    </w:p>
    <w:p w14:paraId="24748438" w14:textId="77777777"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10.4 </w:t>
      </w:r>
      <w:r w:rsidRPr="00EB5809">
        <w:rPr>
          <w:rFonts w:ascii="Times New Roman" w:hAnsi="Times New Roman" w:cs="Times New Roman"/>
          <w:b/>
          <w:color w:val="000000"/>
        </w:rPr>
        <w:t>“Owner Furnished Information”</w:t>
      </w:r>
      <w:r>
        <w:rPr>
          <w:rFonts w:ascii="Times New Roman" w:hAnsi="Times New Roman" w:cs="Times New Roman"/>
          <w:color w:val="000000"/>
        </w:rPr>
        <w:t>, regarding property rights and retention of certain information and materials;</w:t>
      </w:r>
    </w:p>
    <w:p w14:paraId="2501236D" w14:textId="77777777"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Chapter 11.1.3 “</w:t>
      </w:r>
      <w:r w:rsidRPr="005D20B7">
        <w:rPr>
          <w:rFonts w:ascii="Times New Roman" w:hAnsi="Times New Roman" w:cs="Times New Roman"/>
          <w:b/>
          <w:color w:val="000000"/>
        </w:rPr>
        <w:t>Warranty of Accuracy of FEED Phase 1 Deliverables</w:t>
      </w:r>
      <w:r>
        <w:rPr>
          <w:rFonts w:ascii="Times New Roman" w:hAnsi="Times New Roman" w:cs="Times New Roman"/>
          <w:color w:val="000000"/>
        </w:rPr>
        <w:t>”, regarding terms and conditions with respect to execution performance for FEED Phase 1 deliverables;</w:t>
      </w:r>
    </w:p>
    <w:p w14:paraId="37B8C039" w14:textId="77777777"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14.3.1 </w:t>
      </w:r>
      <w:r w:rsidRPr="002253F7">
        <w:rPr>
          <w:rFonts w:ascii="Times New Roman" w:hAnsi="Times New Roman" w:cs="Times New Roman"/>
          <w:b/>
          <w:color w:val="000000"/>
        </w:rPr>
        <w:t>“Termination for Convenience by Owner”</w:t>
      </w:r>
      <w:r>
        <w:rPr>
          <w:rFonts w:ascii="Times New Roman" w:hAnsi="Times New Roman" w:cs="Times New Roman"/>
          <w:color w:val="000000"/>
        </w:rPr>
        <w:t>, regarding the rights and mechanism for contract termination;</w:t>
      </w:r>
    </w:p>
    <w:p w14:paraId="45B32A51" w14:textId="77777777"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19.1 </w:t>
      </w:r>
      <w:r w:rsidRPr="002253F7">
        <w:rPr>
          <w:rFonts w:ascii="Times New Roman" w:hAnsi="Times New Roman" w:cs="Times New Roman"/>
          <w:b/>
          <w:color w:val="000000"/>
        </w:rPr>
        <w:t>“Change in Control of NuScale”</w:t>
      </w:r>
      <w:r>
        <w:rPr>
          <w:rFonts w:ascii="Times New Roman" w:hAnsi="Times New Roman" w:cs="Times New Roman"/>
          <w:color w:val="000000"/>
        </w:rPr>
        <w:t>, respectively Chapter 19.2 “</w:t>
      </w:r>
      <w:r w:rsidRPr="002253F7">
        <w:rPr>
          <w:rFonts w:ascii="Times New Roman" w:hAnsi="Times New Roman" w:cs="Times New Roman"/>
          <w:b/>
          <w:color w:val="000000"/>
        </w:rPr>
        <w:t>Change in Control of Any Other Subcontractor”</w:t>
      </w:r>
      <w:r>
        <w:rPr>
          <w:rFonts w:ascii="Times New Roman" w:hAnsi="Times New Roman" w:cs="Times New Roman"/>
          <w:color w:val="000000"/>
        </w:rPr>
        <w:t>, regarding certain modifications in the shareholders or management structure of NuScale;</w:t>
      </w:r>
    </w:p>
    <w:p w14:paraId="056B3694" w14:textId="77777777" w:rsidR="00947FB5" w:rsidRPr="00605CC8"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The definition and interpretation of terms regarding NuScale abandonment events, respectively the definition and interpretation of NuScale Intellectual Property from annex “</w:t>
      </w:r>
      <w:r w:rsidRPr="00605CC8">
        <w:rPr>
          <w:rFonts w:ascii="Times New Roman" w:hAnsi="Times New Roman" w:cs="Times New Roman"/>
          <w:b/>
          <w:color w:val="000000"/>
        </w:rPr>
        <w:t>Schedule A Definitions and Interpretation Part 1</w:t>
      </w:r>
      <w:r>
        <w:rPr>
          <w:rFonts w:ascii="Times New Roman" w:hAnsi="Times New Roman" w:cs="Times New Roman"/>
          <w:color w:val="000000"/>
        </w:rPr>
        <w:t>”;</w:t>
      </w:r>
    </w:p>
    <w:p w14:paraId="7D197460"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B FEED Phase 2 Services</w:t>
      </w:r>
      <w:r w:rsidRPr="00EB018C">
        <w:rPr>
          <w:rFonts w:ascii="Times New Roman" w:hAnsi="Times New Roman" w:cs="Times New Roman"/>
          <w:color w:val="000000"/>
        </w:rPr>
        <w:t>” which presents in detail engineering and design services of FEED Phase 2;</w:t>
      </w:r>
    </w:p>
    <w:p w14:paraId="549271F2" w14:textId="77777777"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C Contractor Deliverables</w:t>
      </w:r>
      <w:r w:rsidRPr="00EB018C">
        <w:rPr>
          <w:rFonts w:ascii="Times New Roman" w:hAnsi="Times New Roman" w:cs="Times New Roman"/>
          <w:color w:val="000000"/>
        </w:rPr>
        <w:t>” which presents in great detail all deliverables and activities performed by the contractor for the execution of FEED Phase 2;</w:t>
      </w:r>
    </w:p>
    <w:p w14:paraId="112A407C"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Information regarding cost breakdown and certain activities or information included in annex </w:t>
      </w:r>
      <w:r w:rsidRPr="00C507EC">
        <w:rPr>
          <w:rFonts w:ascii="Times New Roman" w:hAnsi="Times New Roman" w:cs="Times New Roman"/>
          <w:b/>
          <w:color w:val="000000"/>
        </w:rPr>
        <w:t>“Schedule D1 Milestone Table”</w:t>
      </w:r>
      <w:r>
        <w:rPr>
          <w:rFonts w:ascii="Times New Roman" w:hAnsi="Times New Roman" w:cs="Times New Roman"/>
          <w:color w:val="000000"/>
        </w:rPr>
        <w:t xml:space="preserve">, annex </w:t>
      </w:r>
      <w:r w:rsidRPr="00C507EC">
        <w:rPr>
          <w:rFonts w:ascii="Times New Roman" w:hAnsi="Times New Roman" w:cs="Times New Roman"/>
          <w:b/>
          <w:color w:val="000000"/>
        </w:rPr>
        <w:t>“Schedule D2 Commercials”</w:t>
      </w:r>
      <w:r>
        <w:rPr>
          <w:rFonts w:ascii="Times New Roman" w:hAnsi="Times New Roman" w:cs="Times New Roman"/>
          <w:color w:val="000000"/>
        </w:rPr>
        <w:t xml:space="preserve">, respectively annex </w:t>
      </w:r>
      <w:r w:rsidRPr="00C507EC">
        <w:rPr>
          <w:rFonts w:ascii="Times New Roman" w:hAnsi="Times New Roman" w:cs="Times New Roman"/>
          <w:b/>
          <w:color w:val="000000"/>
        </w:rPr>
        <w:t>“Schedule D3 Project Objectives and Structure”</w:t>
      </w:r>
      <w:r>
        <w:rPr>
          <w:rFonts w:ascii="Times New Roman" w:hAnsi="Times New Roman" w:cs="Times New Roman"/>
          <w:color w:val="000000"/>
        </w:rPr>
        <w:t>;</w:t>
      </w:r>
    </w:p>
    <w:p w14:paraId="1CF89A48"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w:t>
      </w:r>
      <w:r>
        <w:rPr>
          <w:rFonts w:ascii="Times New Roman" w:hAnsi="Times New Roman" w:cs="Times New Roman"/>
          <w:color w:val="000000"/>
        </w:rPr>
        <w:t>n</w:t>
      </w:r>
      <w:r w:rsidRPr="00EB018C">
        <w:rPr>
          <w:rFonts w:ascii="Times New Roman" w:hAnsi="Times New Roman" w:cs="Times New Roman"/>
          <w:color w:val="000000"/>
        </w:rPr>
        <w:t>e</w:t>
      </w:r>
      <w:r>
        <w:rPr>
          <w:rFonts w:ascii="Times New Roman" w:hAnsi="Times New Roman" w:cs="Times New Roman"/>
          <w:color w:val="000000"/>
        </w:rPr>
        <w:t>x</w:t>
      </w:r>
      <w:r w:rsidRPr="00EB018C">
        <w:rPr>
          <w:rFonts w:ascii="Times New Roman" w:hAnsi="Times New Roman" w:cs="Times New Roman"/>
          <w:color w:val="000000"/>
        </w:rPr>
        <w:t xml:space="preserve"> “</w:t>
      </w:r>
      <w:r w:rsidRPr="00EB018C">
        <w:rPr>
          <w:rFonts w:ascii="Times New Roman" w:hAnsi="Times New Roman" w:cs="Times New Roman"/>
          <w:b/>
          <w:color w:val="000000"/>
        </w:rPr>
        <w:t>Schedule E1 Parent Company Guarantee”</w:t>
      </w:r>
      <w:r w:rsidRPr="00EB018C">
        <w:rPr>
          <w:rFonts w:ascii="Times New Roman" w:hAnsi="Times New Roman" w:cs="Times New Roman"/>
          <w:color w:val="000000"/>
        </w:rPr>
        <w:t xml:space="preserve"> which presents in detail the contractual mechanism that governs the parent company guarantee;</w:t>
      </w:r>
    </w:p>
    <w:p w14:paraId="08438FB4"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E2 Form of Performance Bond</w:t>
      </w:r>
      <w:r w:rsidRPr="00EB018C">
        <w:rPr>
          <w:rFonts w:ascii="Times New Roman" w:hAnsi="Times New Roman" w:cs="Times New Roman"/>
          <w:color w:val="000000"/>
        </w:rPr>
        <w:t>” which presents in detail the contractual mechanism through which the performance bond for FEED Phase 2 execution is enabled;</w:t>
      </w:r>
    </w:p>
    <w:p w14:paraId="22ECB42D"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F</w:t>
      </w:r>
      <w:r w:rsidRPr="00EB018C">
        <w:rPr>
          <w:rFonts w:ascii="Times New Roman" w:hAnsi="Times New Roman" w:cs="Times New Roman"/>
          <w:color w:val="000000"/>
        </w:rPr>
        <w:t xml:space="preserve"> </w:t>
      </w:r>
      <w:r w:rsidRPr="00EB018C">
        <w:rPr>
          <w:rFonts w:ascii="Times New Roman" w:hAnsi="Times New Roman" w:cs="Times New Roman"/>
          <w:b/>
          <w:color w:val="000000"/>
        </w:rPr>
        <w:t>Form of Variation Order</w:t>
      </w:r>
      <w:r w:rsidRPr="00EB018C">
        <w:rPr>
          <w:rFonts w:ascii="Times New Roman" w:hAnsi="Times New Roman" w:cs="Times New Roman"/>
          <w:color w:val="000000"/>
        </w:rPr>
        <w:t>” which presents the process through which potential variation orders may be addressed during FEED Phase 2 contract;</w:t>
      </w:r>
    </w:p>
    <w:p w14:paraId="6DC8D645"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G Form of Contractor Invoice</w:t>
      </w:r>
      <w:r w:rsidRPr="00EB018C">
        <w:rPr>
          <w:rFonts w:ascii="Times New Roman" w:hAnsi="Times New Roman" w:cs="Times New Roman"/>
          <w:color w:val="000000"/>
        </w:rPr>
        <w:t xml:space="preserve">” which presents the invoicing mechanism for FEED Phase 2 deliverables;  </w:t>
      </w:r>
    </w:p>
    <w:p w14:paraId="4CD1108C"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H Codes and Standards</w:t>
      </w:r>
      <w:r w:rsidRPr="00EB018C">
        <w:rPr>
          <w:rFonts w:ascii="Times New Roman" w:hAnsi="Times New Roman" w:cs="Times New Roman"/>
          <w:color w:val="000000"/>
        </w:rPr>
        <w:t>” which presents in detail the codes and standards utilized in the execution of services during FEED Phase 2;</w:t>
      </w:r>
    </w:p>
    <w:p w14:paraId="0B74B1E4"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I Deliverable Schedule</w:t>
      </w:r>
      <w:r w:rsidRPr="00EB018C">
        <w:rPr>
          <w:rFonts w:ascii="Times New Roman" w:hAnsi="Times New Roman" w:cs="Times New Roman"/>
          <w:color w:val="000000"/>
        </w:rPr>
        <w:t xml:space="preserve">” which presents in detail the calendar of FEED Phase 2 deliverables; </w:t>
      </w:r>
    </w:p>
    <w:p w14:paraId="16D921F1"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J Approved Subcontractors</w:t>
      </w:r>
      <w:r w:rsidRPr="00EB018C">
        <w:rPr>
          <w:rFonts w:ascii="Times New Roman" w:hAnsi="Times New Roman" w:cs="Times New Roman"/>
          <w:color w:val="000000"/>
        </w:rPr>
        <w:t>” which presents the subcontractors list approved for conducting FEED Phase 2 activities;</w:t>
      </w:r>
    </w:p>
    <w:p w14:paraId="22F7D12D"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K Contractor Permits Licenses</w:t>
      </w:r>
      <w:r w:rsidRPr="00EB018C">
        <w:rPr>
          <w:rFonts w:ascii="Times New Roman" w:hAnsi="Times New Roman" w:cs="Times New Roman"/>
          <w:color w:val="000000"/>
        </w:rPr>
        <w:t xml:space="preserve">” which contains list of certificates and authorizations obtained by the contractor in order to perform FEED Phase 2 services; </w:t>
      </w:r>
    </w:p>
    <w:p w14:paraId="18206EC9"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L Insurance Document</w:t>
      </w:r>
      <w:r w:rsidRPr="00EB018C">
        <w:rPr>
          <w:rFonts w:ascii="Times New Roman" w:hAnsi="Times New Roman" w:cs="Times New Roman"/>
          <w:color w:val="000000"/>
        </w:rPr>
        <w:t xml:space="preserve">” regarding insurances with respect to FEED Phase 2 contracts; </w:t>
      </w:r>
    </w:p>
    <w:p w14:paraId="2F46DAC7"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M Key Personnel</w:t>
      </w:r>
      <w:r w:rsidRPr="00EB018C">
        <w:rPr>
          <w:rFonts w:ascii="Times New Roman" w:hAnsi="Times New Roman" w:cs="Times New Roman"/>
          <w:color w:val="000000"/>
        </w:rPr>
        <w:t xml:space="preserve">” which presents the Resume of key personnel, represented herein by the Contractor’s Project Director for FEED Phase 2; </w:t>
      </w:r>
    </w:p>
    <w:p w14:paraId="4C43E241"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lastRenderedPageBreak/>
        <w:t>Annex “</w:t>
      </w:r>
      <w:r w:rsidRPr="00EB018C">
        <w:rPr>
          <w:rFonts w:ascii="Times New Roman" w:hAnsi="Times New Roman" w:cs="Times New Roman"/>
          <w:b/>
          <w:color w:val="000000"/>
        </w:rPr>
        <w:t>Schedule N Procurement</w:t>
      </w:r>
      <w:r w:rsidRPr="00EB018C">
        <w:rPr>
          <w:rFonts w:ascii="Times New Roman" w:hAnsi="Times New Roman" w:cs="Times New Roman"/>
          <w:color w:val="000000"/>
        </w:rPr>
        <w:t xml:space="preserve">” which presents procurement procedures that are to be utilized during the execution of FEED Phase 2; </w:t>
      </w:r>
    </w:p>
    <w:p w14:paraId="634BA8E9"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O1 20 Days Review Process by RoPower</w:t>
      </w:r>
      <w:r w:rsidRPr="00EB018C">
        <w:rPr>
          <w:rFonts w:ascii="Times New Roman" w:hAnsi="Times New Roman" w:cs="Times New Roman"/>
          <w:color w:val="000000"/>
        </w:rPr>
        <w:t>” which presents in detail the deliverables list with a 20-day review process period by RoPower;</w:t>
      </w:r>
    </w:p>
    <w:p w14:paraId="689BCF8E"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O2 20 Days Review Process by RoPower &amp; Authorities</w:t>
      </w:r>
      <w:r w:rsidRPr="00EB018C">
        <w:rPr>
          <w:rFonts w:ascii="Times New Roman" w:hAnsi="Times New Roman" w:cs="Times New Roman"/>
          <w:color w:val="000000"/>
        </w:rPr>
        <w:t>” which presents in detail the deliverables list with a 20-day review process period by RoPower and authorities;</w:t>
      </w:r>
    </w:p>
    <w:p w14:paraId="3C765D6B"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O3 10 Days Review Process</w:t>
      </w:r>
      <w:r w:rsidRPr="00EB018C">
        <w:rPr>
          <w:rFonts w:ascii="Times New Roman" w:hAnsi="Times New Roman" w:cs="Times New Roman"/>
          <w:color w:val="000000"/>
        </w:rPr>
        <w:t>” which presents in detail the deliverables list with a 10-day review process period;</w:t>
      </w:r>
    </w:p>
    <w:p w14:paraId="23EA9BC1"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O4 2 Days Review Proces by RoPower</w:t>
      </w:r>
      <w:r w:rsidRPr="00EB018C">
        <w:rPr>
          <w:rFonts w:ascii="Times New Roman" w:hAnsi="Times New Roman" w:cs="Times New Roman"/>
          <w:color w:val="000000"/>
        </w:rPr>
        <w:t>” which presents in detail the deliverables list with a 2-day review process period by RoPower;</w:t>
      </w:r>
    </w:p>
    <w:p w14:paraId="7A65F255"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P Rely Upon Information</w:t>
      </w:r>
      <w:r w:rsidRPr="00EB018C">
        <w:rPr>
          <w:rFonts w:ascii="Times New Roman" w:hAnsi="Times New Roman" w:cs="Times New Roman"/>
          <w:color w:val="000000"/>
        </w:rPr>
        <w:t>” which presents a list of reference information (i.e. FEED Phase 2 deliverables, Licensing Basis Document, NuScale deliverables within the Technology License Agreement, other technical information) which shall constitute the basis for the execution of activities covered in the contract;</w:t>
      </w:r>
    </w:p>
    <w:p w14:paraId="340EA210"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Q Summary of Activities (HG907/2016)</w:t>
      </w:r>
      <w:r w:rsidRPr="00EB018C">
        <w:rPr>
          <w:rFonts w:ascii="Times New Roman" w:hAnsi="Times New Roman" w:cs="Times New Roman"/>
          <w:color w:val="000000"/>
        </w:rPr>
        <w:t xml:space="preserve">” which presents the breakdown of responsibilities regarding execution of activities required to meet legal requirements for developing feasibility studies; </w:t>
      </w:r>
    </w:p>
    <w:p w14:paraId="306C0AF8"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R Form of Weekly &amp; Monthly Progress Report</w:t>
      </w:r>
      <w:r w:rsidRPr="00EB018C">
        <w:rPr>
          <w:rFonts w:ascii="Times New Roman" w:hAnsi="Times New Roman" w:cs="Times New Roman"/>
          <w:color w:val="000000"/>
        </w:rPr>
        <w:t xml:space="preserve">” which presents the structure of the recurrent reports required to monitor Project evolution during FEED Phase 2; </w:t>
      </w:r>
    </w:p>
    <w:p w14:paraId="3BED86B0"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S Final Acceptance Certificate</w:t>
      </w:r>
      <w:r w:rsidRPr="00EB018C">
        <w:rPr>
          <w:rFonts w:ascii="Times New Roman" w:hAnsi="Times New Roman" w:cs="Times New Roman"/>
          <w:color w:val="000000"/>
        </w:rPr>
        <w:t>” which presents the final acceptance certificate form for FEED Phase 2 deliverables;</w:t>
      </w:r>
    </w:p>
    <w:p w14:paraId="2254E96D" w14:textId="77777777" w:rsidR="00947FB5" w:rsidRPr="00EB018C"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T Priority Deliverables</w:t>
      </w:r>
      <w:r w:rsidRPr="00EB018C">
        <w:rPr>
          <w:rFonts w:ascii="Times New Roman" w:hAnsi="Times New Roman" w:cs="Times New Roman"/>
          <w:color w:val="000000"/>
        </w:rPr>
        <w:t xml:space="preserve">” which presents the list of priority deliverables for FEED Phase 2 and the contractual deadlines for these; </w:t>
      </w:r>
    </w:p>
    <w:p w14:paraId="2E8BCC1F" w14:textId="7E0375BE" w:rsidR="00947FB5" w:rsidRDefault="00947FB5" w:rsidP="00947FB5">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U Liquidated Damages</w:t>
      </w:r>
      <w:r w:rsidRPr="00EB018C">
        <w:rPr>
          <w:rFonts w:ascii="Times New Roman" w:hAnsi="Times New Roman" w:cs="Times New Roman"/>
          <w:color w:val="000000"/>
        </w:rPr>
        <w:t>” which presents the list of penalties and the mechanism applicable in the case of priority deliverables in FEED Phase 2.</w:t>
      </w:r>
    </w:p>
    <w:p w14:paraId="02E5B7C6" w14:textId="77777777" w:rsidR="001C162A" w:rsidRPr="001C162A" w:rsidRDefault="001C162A" w:rsidP="001C162A">
      <w:pPr>
        <w:widowControl w:val="0"/>
        <w:autoSpaceDE w:val="0"/>
        <w:autoSpaceDN w:val="0"/>
        <w:adjustRightInd w:val="0"/>
        <w:spacing w:after="0" w:line="240" w:lineRule="auto"/>
        <w:ind w:right="-23"/>
        <w:jc w:val="both"/>
        <w:rPr>
          <w:rFonts w:ascii="Times New Roman" w:hAnsi="Times New Roman"/>
          <w:color w:val="000000"/>
        </w:rPr>
      </w:pPr>
      <w:r w:rsidRPr="001C162A">
        <w:rPr>
          <w:rFonts w:ascii="Times New Roman" w:hAnsi="Times New Roman"/>
          <w:color w:val="000000"/>
        </w:rPr>
        <w:t>Regarding the two FEED 2 contracts, both the “Offshore” and the “Onshore” share the same annexes.</w:t>
      </w:r>
    </w:p>
    <w:p w14:paraId="41C7CF77" w14:textId="77777777" w:rsidR="001C162A" w:rsidRPr="001C162A" w:rsidRDefault="001C162A" w:rsidP="001C162A">
      <w:pPr>
        <w:pStyle w:val="ListParagraph"/>
        <w:widowControl w:val="0"/>
        <w:autoSpaceDE w:val="0"/>
        <w:autoSpaceDN w:val="0"/>
        <w:adjustRightInd w:val="0"/>
        <w:spacing w:after="0" w:line="240" w:lineRule="auto"/>
        <w:ind w:left="1800" w:right="-23"/>
        <w:jc w:val="both"/>
        <w:rPr>
          <w:rFonts w:ascii="Times New Roman" w:hAnsi="Times New Roman" w:cs="Times New Roman"/>
          <w:color w:val="000000"/>
        </w:rPr>
      </w:pPr>
    </w:p>
    <w:p w14:paraId="65C8E518" w14:textId="77777777" w:rsidR="001C162A" w:rsidRPr="001C162A" w:rsidRDefault="001C162A" w:rsidP="001C162A">
      <w:pPr>
        <w:widowControl w:val="0"/>
        <w:autoSpaceDE w:val="0"/>
        <w:autoSpaceDN w:val="0"/>
        <w:adjustRightInd w:val="0"/>
        <w:spacing w:after="0" w:line="240" w:lineRule="auto"/>
        <w:ind w:right="-23"/>
        <w:jc w:val="both"/>
        <w:rPr>
          <w:rFonts w:ascii="Times New Roman" w:hAnsi="Times New Roman" w:cs="Times New Roman"/>
          <w:color w:val="000000"/>
        </w:rPr>
      </w:pPr>
    </w:p>
    <w:p w14:paraId="21DEA652" w14:textId="759F547A" w:rsidR="00947FB5" w:rsidRDefault="00947FB5" w:rsidP="005249AB">
      <w:pPr>
        <w:widowControl w:val="0"/>
        <w:autoSpaceDE w:val="0"/>
        <w:autoSpaceDN w:val="0"/>
        <w:adjustRightInd w:val="0"/>
        <w:spacing w:after="0" w:line="240" w:lineRule="auto"/>
        <w:ind w:right="-23"/>
        <w:jc w:val="both"/>
        <w:rPr>
          <w:rFonts w:ascii="Times New Roman" w:hAnsi="Times New Roman" w:cs="Times New Roman"/>
          <w:color w:val="000000"/>
        </w:rPr>
      </w:pPr>
    </w:p>
    <w:p w14:paraId="0DCA85CE" w14:textId="12A4A324" w:rsidR="00947FB5" w:rsidRPr="00947FB5" w:rsidRDefault="005249AB" w:rsidP="00947FB5">
      <w:pPr>
        <w:pStyle w:val="ListParagraph"/>
        <w:widowControl w:val="0"/>
        <w:numPr>
          <w:ilvl w:val="0"/>
          <w:numId w:val="34"/>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b/>
          <w:color w:val="000000"/>
        </w:rPr>
        <w:t>T</w:t>
      </w:r>
      <w:r w:rsidR="00947FB5" w:rsidRPr="00947FB5">
        <w:rPr>
          <w:rFonts w:ascii="Times New Roman" w:hAnsi="Times New Roman" w:cs="Times New Roman"/>
          <w:b/>
          <w:color w:val="000000"/>
        </w:rPr>
        <w:t>h</w:t>
      </w:r>
      <w:r w:rsidR="00257390">
        <w:rPr>
          <w:rFonts w:ascii="Times New Roman" w:hAnsi="Times New Roman" w:cs="Times New Roman"/>
          <w:b/>
          <w:color w:val="000000"/>
        </w:rPr>
        <w:t xml:space="preserve">e </w:t>
      </w:r>
      <w:r w:rsidR="00947FB5" w:rsidRPr="00947FB5">
        <w:rPr>
          <w:rFonts w:ascii="Times New Roman" w:hAnsi="Times New Roman" w:cs="Times New Roman"/>
          <w:b/>
          <w:color w:val="000000"/>
        </w:rPr>
        <w:t xml:space="preserve">Technology License Agreement </w:t>
      </w:r>
      <w:r w:rsidR="00947FB5" w:rsidRPr="00947FB5">
        <w:rPr>
          <w:rFonts w:ascii="Times New Roman" w:hAnsi="Times New Roman" w:cs="Times New Roman"/>
          <w:color w:val="000000"/>
        </w:rPr>
        <w:t>(“TLA”)</w:t>
      </w:r>
      <w:r w:rsidR="00042C4D">
        <w:rPr>
          <w:rFonts w:ascii="Times New Roman" w:hAnsi="Times New Roman" w:cs="Times New Roman"/>
          <w:color w:val="000000"/>
        </w:rPr>
        <w:t xml:space="preserve">, with the exception of the information from annex </w:t>
      </w:r>
      <w:r w:rsidR="00042C4D" w:rsidRPr="00042C4D">
        <w:rPr>
          <w:rFonts w:ascii="Times New Roman" w:hAnsi="Times New Roman" w:cs="Times New Roman"/>
          <w:b/>
          <w:color w:val="000000"/>
        </w:rPr>
        <w:t>“Exhibit A Licensed Technology”,</w:t>
      </w:r>
      <w:r w:rsidR="00042C4D">
        <w:rPr>
          <w:rFonts w:ascii="Times New Roman" w:hAnsi="Times New Roman" w:cs="Times New Roman"/>
          <w:color w:val="000000"/>
        </w:rPr>
        <w:t xml:space="preserve"> respectively annex </w:t>
      </w:r>
      <w:r w:rsidR="00042C4D" w:rsidRPr="00042C4D">
        <w:rPr>
          <w:rFonts w:ascii="Times New Roman" w:hAnsi="Times New Roman" w:cs="Times New Roman"/>
          <w:b/>
          <w:color w:val="000000"/>
        </w:rPr>
        <w:t xml:space="preserve">“Exhibit B Form of </w:t>
      </w:r>
      <w:proofErr w:type="spellStart"/>
      <w:r w:rsidR="00042C4D" w:rsidRPr="00042C4D">
        <w:rPr>
          <w:rFonts w:ascii="Times New Roman" w:hAnsi="Times New Roman" w:cs="Times New Roman"/>
          <w:b/>
          <w:color w:val="000000"/>
        </w:rPr>
        <w:t>NuScale</w:t>
      </w:r>
      <w:proofErr w:type="spellEnd"/>
      <w:r w:rsidR="00042C4D" w:rsidRPr="00042C4D">
        <w:rPr>
          <w:rFonts w:ascii="Times New Roman" w:hAnsi="Times New Roman" w:cs="Times New Roman"/>
          <w:b/>
          <w:color w:val="000000"/>
        </w:rPr>
        <w:t xml:space="preserve"> Invoice”</w:t>
      </w:r>
      <w:r w:rsidR="00042C4D">
        <w:rPr>
          <w:rFonts w:ascii="Times New Roman" w:hAnsi="Times New Roman" w:cs="Times New Roman"/>
          <w:b/>
          <w:color w:val="000000"/>
        </w:rPr>
        <w:t>;</w:t>
      </w:r>
    </w:p>
    <w:p w14:paraId="2D7BE663" w14:textId="77777777" w:rsidR="00947FB5" w:rsidRPr="00EB018C" w:rsidRDefault="00947FB5" w:rsidP="00947FB5">
      <w:pPr>
        <w:pStyle w:val="ListParagraph"/>
        <w:rPr>
          <w:rFonts w:ascii="Times New Roman" w:hAnsi="Times New Roman" w:cs="Times New Roman"/>
          <w:bCs/>
        </w:rPr>
      </w:pPr>
    </w:p>
    <w:p w14:paraId="2BB3BCB6" w14:textId="2554EF8A" w:rsidR="006F0B23" w:rsidRPr="006F0B23" w:rsidRDefault="006F0B23" w:rsidP="006F0B23">
      <w:pPr>
        <w:pStyle w:val="ListParagraph"/>
        <w:numPr>
          <w:ilvl w:val="0"/>
          <w:numId w:val="34"/>
        </w:numPr>
        <w:jc w:val="both"/>
        <w:rPr>
          <w:rFonts w:ascii="Times New Roman" w:hAnsi="Times New Roman" w:cs="Times New Roman"/>
          <w:bCs/>
        </w:rPr>
      </w:pPr>
      <w:r w:rsidRPr="006F0B23">
        <w:rPr>
          <w:rFonts w:ascii="Times New Roman" w:hAnsi="Times New Roman" w:cs="Times New Roman"/>
          <w:b/>
        </w:rPr>
        <w:t>Addendum no. 2  to the Loan Contract no. 1 from 16.08.2023</w:t>
      </w:r>
      <w:r w:rsidRPr="006F0B23">
        <w:rPr>
          <w:rFonts w:ascii="Times New Roman" w:hAnsi="Times New Roman" w:cs="Times New Roman"/>
        </w:rPr>
        <w:t>, with the exception of certain information from Art. 2.1 regarding the value already used by the Borrower</w:t>
      </w:r>
      <w:r>
        <w:rPr>
          <w:rFonts w:ascii="Times New Roman" w:hAnsi="Times New Roman" w:cs="Times New Roman"/>
        </w:rPr>
        <w:t>;</w:t>
      </w:r>
    </w:p>
    <w:p w14:paraId="295B5435" w14:textId="77777777" w:rsidR="006F0B23" w:rsidRPr="00EB018C" w:rsidRDefault="006F0B23" w:rsidP="006F0B23">
      <w:pPr>
        <w:pStyle w:val="ListParagraph"/>
        <w:jc w:val="both"/>
        <w:rPr>
          <w:rFonts w:ascii="Times New Roman" w:hAnsi="Times New Roman" w:cs="Times New Roman"/>
          <w:bCs/>
        </w:rPr>
      </w:pPr>
    </w:p>
    <w:p w14:paraId="2FBA30AC" w14:textId="2CBF26B6" w:rsidR="006F0B23" w:rsidRPr="006620D2" w:rsidRDefault="006F0B23" w:rsidP="006F0B23">
      <w:pPr>
        <w:pStyle w:val="ListParagraph"/>
        <w:numPr>
          <w:ilvl w:val="0"/>
          <w:numId w:val="34"/>
        </w:numPr>
        <w:jc w:val="both"/>
        <w:rPr>
          <w:rFonts w:ascii="Times New Roman" w:hAnsi="Times New Roman" w:cs="Times New Roman"/>
          <w:bCs/>
        </w:rPr>
      </w:pPr>
      <w:r>
        <w:rPr>
          <w:rFonts w:ascii="Times New Roman" w:hAnsi="Times New Roman" w:cs="Times New Roman"/>
          <w:b/>
        </w:rPr>
        <w:t xml:space="preserve">Addendum no. 2 to the </w:t>
      </w:r>
      <w:r w:rsidRPr="00EB018C">
        <w:rPr>
          <w:rFonts w:ascii="Times New Roman" w:hAnsi="Times New Roman" w:cs="Times New Roman"/>
          <w:b/>
        </w:rPr>
        <w:t>Mortgage Contract with SNN</w:t>
      </w:r>
      <w:r w:rsidRPr="000B0EE9">
        <w:rPr>
          <w:rFonts w:ascii="Times New Roman" w:hAnsi="Times New Roman" w:cs="Times New Roman"/>
        </w:rPr>
        <w:t>, with the exception of certain information from Art. 1.1 regarding the provisions of the mortgag</w:t>
      </w:r>
      <w:r>
        <w:rPr>
          <w:rFonts w:ascii="Times New Roman" w:hAnsi="Times New Roman" w:cs="Times New Roman"/>
        </w:rPr>
        <w:t>e</w:t>
      </w:r>
    </w:p>
    <w:p w14:paraId="7ADA2165" w14:textId="13BB4499" w:rsidR="00E507FB" w:rsidRPr="00F865A8" w:rsidRDefault="001B6528" w:rsidP="00A81834">
      <w:pPr>
        <w:pStyle w:val="BodyText"/>
        <w:spacing w:before="190"/>
        <w:ind w:left="0" w:right="30"/>
        <w:jc w:val="both"/>
        <w:rPr>
          <w:rFonts w:cs="Times New Roman"/>
          <w:spacing w:val="-3"/>
          <w:sz w:val="22"/>
          <w:szCs w:val="22"/>
        </w:rPr>
      </w:pPr>
      <w:r w:rsidRPr="00E53A6C">
        <w:rPr>
          <w:rFonts w:cs="Times New Roman"/>
          <w:sz w:val="22"/>
          <w:szCs w:val="22"/>
        </w:rPr>
        <w:t>th</w:t>
      </w:r>
      <w:r w:rsidRPr="00F865A8">
        <w:rPr>
          <w:rFonts w:cs="Times New Roman"/>
          <w:sz w:val="22"/>
          <w:szCs w:val="22"/>
        </w:rPr>
        <w:t xml:space="preserve">at </w:t>
      </w:r>
      <w:r w:rsidR="00A81834">
        <w:rPr>
          <w:rFonts w:cs="Times New Roman"/>
          <w:sz w:val="22"/>
          <w:szCs w:val="22"/>
        </w:rPr>
        <w:t>are</w:t>
      </w:r>
      <w:r w:rsidRPr="00F865A8">
        <w:rPr>
          <w:rFonts w:cs="Times New Roman"/>
          <w:sz w:val="22"/>
          <w:szCs w:val="22"/>
        </w:rPr>
        <w:t xml:space="preserve"> provided to the </w:t>
      </w:r>
      <w:bookmarkStart w:id="1" w:name="_Hlk65144528"/>
      <w:r w:rsidRPr="00F865A8">
        <w:rPr>
          <w:rFonts w:cs="Times New Roman"/>
          <w:sz w:val="22"/>
          <w:szCs w:val="22"/>
        </w:rPr>
        <w:t>Shareholder</w:t>
      </w:r>
      <w:bookmarkEnd w:id="1"/>
      <w:r w:rsidRPr="00F865A8">
        <w:rPr>
          <w:rFonts w:cs="Times New Roman"/>
          <w:sz w:val="22"/>
          <w:szCs w:val="22"/>
        </w:rPr>
        <w:t xml:space="preserve"> or their Representatives by or on behalf of SNN, regardless of the form it is submitted in; and </w:t>
      </w:r>
      <w:r w:rsidRPr="009F083A">
        <w:rPr>
          <w:rFonts w:cs="Times New Roman"/>
          <w:sz w:val="22"/>
          <w:szCs w:val="22"/>
        </w:rPr>
        <w:t>(</w:t>
      </w:r>
      <w:r w:rsidR="009F083A" w:rsidRPr="009F083A">
        <w:rPr>
          <w:rFonts w:cs="Times New Roman"/>
          <w:sz w:val="22"/>
          <w:szCs w:val="22"/>
        </w:rPr>
        <w:t>f</w:t>
      </w:r>
      <w:r w:rsidRPr="009F083A">
        <w:rPr>
          <w:rFonts w:cs="Times New Roman"/>
          <w:sz w:val="22"/>
          <w:szCs w:val="22"/>
        </w:rPr>
        <w:t>) any notes, reports, analyses, compilations, forecasts, studies, summaries or other documents prepared by the Shareholder or their Representatives, that contain or otherwise reflect any information described in letter</w:t>
      </w:r>
      <w:r w:rsidR="00A81834" w:rsidRPr="009F083A">
        <w:rPr>
          <w:rFonts w:cs="Times New Roman"/>
          <w:sz w:val="22"/>
          <w:szCs w:val="22"/>
        </w:rPr>
        <w:t xml:space="preserve">s </w:t>
      </w:r>
      <w:r w:rsidRPr="009F083A">
        <w:rPr>
          <w:rFonts w:cs="Times New Roman"/>
          <w:sz w:val="22"/>
          <w:szCs w:val="22"/>
        </w:rPr>
        <w:t>a)</w:t>
      </w:r>
      <w:r w:rsidR="00A81834" w:rsidRPr="009F083A">
        <w:rPr>
          <w:rFonts w:cs="Times New Roman"/>
          <w:sz w:val="22"/>
          <w:szCs w:val="22"/>
        </w:rPr>
        <w:t>-</w:t>
      </w:r>
      <w:r w:rsidR="009F083A" w:rsidRPr="009F083A">
        <w:rPr>
          <w:rFonts w:cs="Times New Roman"/>
          <w:sz w:val="22"/>
          <w:szCs w:val="22"/>
        </w:rPr>
        <w:t>e</w:t>
      </w:r>
      <w:r w:rsidR="00A81834" w:rsidRPr="009F083A">
        <w:rPr>
          <w:rFonts w:cs="Times New Roman"/>
          <w:sz w:val="22"/>
          <w:szCs w:val="22"/>
        </w:rPr>
        <w:t>)</w:t>
      </w:r>
      <w:r w:rsidRPr="009F083A">
        <w:rPr>
          <w:rFonts w:cs="Times New Roman"/>
          <w:sz w:val="22"/>
          <w:szCs w:val="22"/>
        </w:rPr>
        <w:t xml:space="preserve"> above;</w:t>
      </w:r>
    </w:p>
    <w:p w14:paraId="1D400DC3" w14:textId="77777777" w:rsidR="00E507FB" w:rsidRPr="00F865A8" w:rsidRDefault="001B6528">
      <w:pPr>
        <w:pStyle w:val="BodyText"/>
        <w:spacing w:before="190"/>
        <w:ind w:left="0" w:right="30"/>
        <w:jc w:val="both"/>
        <w:rPr>
          <w:rFonts w:cs="Times New Roman"/>
          <w:sz w:val="22"/>
          <w:szCs w:val="22"/>
        </w:rPr>
      </w:pPr>
      <w:r w:rsidRPr="00F865A8">
        <w:rPr>
          <w:rFonts w:cs="Times New Roman"/>
          <w:b/>
          <w:sz w:val="22"/>
          <w:szCs w:val="22"/>
        </w:rPr>
        <w:t>Representatives</w:t>
      </w:r>
      <w:r w:rsidRPr="00F865A8">
        <w:rPr>
          <w:rFonts w:cs="Times New Roman"/>
          <w:sz w:val="22"/>
          <w:szCs w:val="22"/>
        </w:rPr>
        <w:t xml:space="preserve"> refer to the directors, trustees, employees, consultants of the Shareholder/ Shareholders and his/their Affiliate/Affiliates, and in relation to any such person, their directors, trustees and employees;</w:t>
      </w:r>
    </w:p>
    <w:p w14:paraId="3D5CC53C" w14:textId="77777777" w:rsidR="00E507FB" w:rsidRPr="00F865A8" w:rsidRDefault="00E507FB">
      <w:pPr>
        <w:pStyle w:val="BodyText"/>
        <w:tabs>
          <w:tab w:val="left" w:pos="8882"/>
        </w:tabs>
        <w:ind w:left="794" w:right="958" w:hanging="164"/>
        <w:jc w:val="both"/>
        <w:rPr>
          <w:rFonts w:cs="Times New Roman"/>
          <w:sz w:val="22"/>
          <w:szCs w:val="22"/>
        </w:rPr>
      </w:pPr>
    </w:p>
    <w:p w14:paraId="2B076F02" w14:textId="77777777" w:rsidR="00E507FB" w:rsidRPr="00F865A8" w:rsidRDefault="001B6528">
      <w:pPr>
        <w:pStyle w:val="BodyText"/>
        <w:tabs>
          <w:tab w:val="left" w:pos="809"/>
        </w:tabs>
        <w:ind w:left="0" w:right="30"/>
        <w:jc w:val="both"/>
        <w:rPr>
          <w:rFonts w:cs="Times New Roman"/>
          <w:sz w:val="22"/>
          <w:szCs w:val="22"/>
        </w:rPr>
      </w:pPr>
      <w:r w:rsidRPr="00F865A8">
        <w:rPr>
          <w:rFonts w:cs="Times New Roman"/>
          <w:b/>
          <w:sz w:val="22"/>
          <w:szCs w:val="22"/>
        </w:rPr>
        <w:t>Confidential Information</w:t>
      </w:r>
      <w:r w:rsidRPr="00F865A8">
        <w:rPr>
          <w:rFonts w:cs="Times New Roman"/>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respectively under a contractual, legal, fiduciary obligation or any other kind of obligation to send the information to the shareholder or his representatives; or c) were obtained independently by the Shareholder or their Representatives, without access to or without benefiting from the Confidential Information.</w:t>
      </w:r>
    </w:p>
    <w:p w14:paraId="74E4348F" w14:textId="77777777" w:rsidR="00E507FB" w:rsidRPr="00F865A8" w:rsidRDefault="00E507FB">
      <w:pPr>
        <w:pStyle w:val="BodyText"/>
        <w:tabs>
          <w:tab w:val="left" w:pos="809"/>
        </w:tabs>
        <w:ind w:right="30"/>
        <w:jc w:val="both"/>
        <w:rPr>
          <w:rFonts w:cs="Times New Roman"/>
          <w:sz w:val="22"/>
          <w:szCs w:val="22"/>
        </w:rPr>
      </w:pPr>
    </w:p>
    <w:p w14:paraId="71C14004" w14:textId="7EE49FFE" w:rsidR="00E507FB" w:rsidRPr="00F865A8" w:rsidRDefault="001B6528" w:rsidP="00F57C89">
      <w:pPr>
        <w:pStyle w:val="BodyText"/>
        <w:numPr>
          <w:ilvl w:val="0"/>
          <w:numId w:val="32"/>
        </w:numPr>
        <w:tabs>
          <w:tab w:val="left" w:pos="808"/>
        </w:tabs>
        <w:rPr>
          <w:rFonts w:cs="Times New Roman"/>
          <w:b/>
          <w:sz w:val="22"/>
          <w:szCs w:val="22"/>
        </w:rPr>
      </w:pPr>
      <w:r w:rsidRPr="00F865A8">
        <w:rPr>
          <w:rFonts w:cs="Times New Roman"/>
          <w:b/>
          <w:sz w:val="22"/>
          <w:szCs w:val="22"/>
        </w:rPr>
        <w:t xml:space="preserve">Provision and use of Confidential Information </w:t>
      </w:r>
    </w:p>
    <w:p w14:paraId="1D3C47BD" w14:textId="17707157" w:rsidR="00896C26" w:rsidRDefault="001B6528" w:rsidP="00F865A8">
      <w:pPr>
        <w:autoSpaceDE w:val="0"/>
        <w:autoSpaceDN w:val="0"/>
        <w:spacing w:before="173" w:after="0" w:line="240" w:lineRule="auto"/>
        <w:ind w:right="-60"/>
        <w:jc w:val="both"/>
        <w:rPr>
          <w:rFonts w:ascii="Times New Roman" w:eastAsia="Times New Roman" w:hAnsi="Times New Roman" w:cs="Times New Roman"/>
        </w:rPr>
      </w:pPr>
      <w:r w:rsidRPr="00F865A8">
        <w:rPr>
          <w:rFonts w:ascii="Times New Roman" w:eastAsia="Times New Roman" w:hAnsi="Times New Roman" w:cs="Times New Roman"/>
        </w:rPr>
        <w:t xml:space="preserve">Considering that SNN intends to provide and to grant the Shareholder’s access to Confidential Information, the Shareholder acknowledges that the Confidential Information include the </w:t>
      </w:r>
      <w:r w:rsidR="00896C26">
        <w:rPr>
          <w:rFonts w:ascii="Times New Roman" w:eastAsia="Times New Roman" w:hAnsi="Times New Roman" w:cs="Times New Roman"/>
        </w:rPr>
        <w:t xml:space="preserve">following: </w:t>
      </w:r>
    </w:p>
    <w:p w14:paraId="71404E7A" w14:textId="17D3FAFA" w:rsidR="003E53EF" w:rsidRPr="00967631" w:rsidRDefault="003E53EF" w:rsidP="003E53EF">
      <w:pPr>
        <w:pStyle w:val="ListParagraph"/>
        <w:numPr>
          <w:ilvl w:val="0"/>
          <w:numId w:val="38"/>
        </w:numPr>
        <w:jc w:val="both"/>
        <w:rPr>
          <w:rFonts w:ascii="Times New Roman" w:hAnsi="Times New Roman" w:cs="Times New Roman"/>
          <w:bCs/>
        </w:rPr>
      </w:pPr>
      <w:r>
        <w:rPr>
          <w:rFonts w:ascii="Times New Roman" w:hAnsi="Times New Roman" w:cs="Times New Roman"/>
          <w:b/>
        </w:rPr>
        <w:t xml:space="preserve">The </w:t>
      </w:r>
      <w:r w:rsidRPr="00307D85">
        <w:rPr>
          <w:rFonts w:ascii="Times New Roman" w:hAnsi="Times New Roman" w:cs="Times New Roman"/>
          <w:b/>
        </w:rPr>
        <w:t>tripartite Shareholders/Investors Agreement (“SHA”</w:t>
      </w:r>
      <w:r w:rsidRPr="00307D85">
        <w:rPr>
          <w:rFonts w:ascii="Times New Roman" w:hAnsi="Times New Roman" w:cs="Times New Roman"/>
        </w:rPr>
        <w:t>) to be concluded between SNN, NOVA POWER and GAS SRL and DSPE BETA PRIVATE EQUITY FUND for the development of the SMR Project, in Doicești Romania, in the form negotiated between SNN and the Project Partners</w:t>
      </w:r>
      <w:r>
        <w:rPr>
          <w:rFonts w:ascii="Times New Roman" w:hAnsi="Times New Roman" w:cs="Times New Roman"/>
        </w:rPr>
        <w:t>;</w:t>
      </w:r>
    </w:p>
    <w:p w14:paraId="42C3EBF8" w14:textId="77777777" w:rsidR="003E53EF" w:rsidRPr="003E53EF" w:rsidRDefault="003E53EF" w:rsidP="003E53EF">
      <w:pPr>
        <w:pStyle w:val="ListParagraph"/>
        <w:jc w:val="both"/>
        <w:rPr>
          <w:rFonts w:ascii="Times New Roman" w:hAnsi="Times New Roman" w:cs="Times New Roman"/>
          <w:bCs/>
        </w:rPr>
      </w:pPr>
    </w:p>
    <w:p w14:paraId="6C6A4F2D" w14:textId="27FD7D7D" w:rsidR="00005120" w:rsidRPr="00005120" w:rsidRDefault="00005120" w:rsidP="00005120">
      <w:pPr>
        <w:pStyle w:val="ListParagraph"/>
        <w:numPr>
          <w:ilvl w:val="0"/>
          <w:numId w:val="38"/>
        </w:numPr>
        <w:jc w:val="both"/>
        <w:rPr>
          <w:rFonts w:ascii="Times New Roman" w:hAnsi="Times New Roman" w:cs="Times New Roman"/>
          <w:bCs/>
        </w:rPr>
      </w:pPr>
      <w:r w:rsidRPr="00005120">
        <w:rPr>
          <w:rFonts w:ascii="Times New Roman" w:hAnsi="Times New Roman" w:cs="Times New Roman"/>
          <w:b/>
        </w:rPr>
        <w:t xml:space="preserve">FEED Phase 2 Contracts (“Offshore”, respectively “Onshore”), </w:t>
      </w:r>
      <w:r w:rsidRPr="00005120">
        <w:rPr>
          <w:rFonts w:ascii="Times New Roman" w:hAnsi="Times New Roman" w:cs="Times New Roman"/>
          <w:bCs/>
          <w:lang w:val="en"/>
        </w:rPr>
        <w:t xml:space="preserve">with the exception of </w:t>
      </w:r>
      <w:r w:rsidRPr="00005120">
        <w:rPr>
          <w:rFonts w:ascii="Times New Roman" w:hAnsi="Times New Roman" w:cs="Times New Roman"/>
        </w:rPr>
        <w:t>the information referring to the following:</w:t>
      </w:r>
    </w:p>
    <w:p w14:paraId="456C6869" w14:textId="391A298C" w:rsidR="00005120" w:rsidRP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005120">
        <w:rPr>
          <w:rFonts w:ascii="Times New Roman" w:hAnsi="Times New Roman" w:cs="Times New Roman"/>
          <w:color w:val="000000"/>
        </w:rPr>
        <w:t xml:space="preserve">Chapter 10.2 </w:t>
      </w:r>
      <w:r w:rsidRPr="00005120">
        <w:rPr>
          <w:rFonts w:ascii="Times New Roman" w:hAnsi="Times New Roman" w:cs="Times New Roman"/>
          <w:b/>
          <w:color w:val="000000"/>
        </w:rPr>
        <w:t>“Contractor’s IP and Third-Party IP”</w:t>
      </w:r>
      <w:r w:rsidRPr="00005120">
        <w:rPr>
          <w:rFonts w:ascii="Times New Roman" w:hAnsi="Times New Roman" w:cs="Times New Roman"/>
          <w:color w:val="000000"/>
        </w:rPr>
        <w:t>, respectively Chapters 10.2.1 and 10.2.2 regarding Intellectual Property rights of the Contractor and of a third Party;</w:t>
      </w:r>
    </w:p>
    <w:p w14:paraId="6AEE4FBF" w14:textId="77777777" w:rsid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10.4 </w:t>
      </w:r>
      <w:r w:rsidRPr="00EB5809">
        <w:rPr>
          <w:rFonts w:ascii="Times New Roman" w:hAnsi="Times New Roman" w:cs="Times New Roman"/>
          <w:b/>
          <w:color w:val="000000"/>
        </w:rPr>
        <w:t>“Owner Furnished Information”</w:t>
      </w:r>
      <w:r>
        <w:rPr>
          <w:rFonts w:ascii="Times New Roman" w:hAnsi="Times New Roman" w:cs="Times New Roman"/>
          <w:color w:val="000000"/>
        </w:rPr>
        <w:t>, regarding property rights and retention of certain information and materials;</w:t>
      </w:r>
    </w:p>
    <w:p w14:paraId="537636CA" w14:textId="77777777" w:rsid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Chapter 11.1.3 “</w:t>
      </w:r>
      <w:r w:rsidRPr="005D20B7">
        <w:rPr>
          <w:rFonts w:ascii="Times New Roman" w:hAnsi="Times New Roman" w:cs="Times New Roman"/>
          <w:b/>
          <w:color w:val="000000"/>
        </w:rPr>
        <w:t>Warranty of Accuracy of FEED Phase 1 Deliverables</w:t>
      </w:r>
      <w:r>
        <w:rPr>
          <w:rFonts w:ascii="Times New Roman" w:hAnsi="Times New Roman" w:cs="Times New Roman"/>
          <w:color w:val="000000"/>
        </w:rPr>
        <w:t>”, regarding terms and conditions with respect to execution performance for FEED Phase 1 deliverables;</w:t>
      </w:r>
    </w:p>
    <w:p w14:paraId="7920CC81" w14:textId="77777777" w:rsid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14.3.1 </w:t>
      </w:r>
      <w:r w:rsidRPr="002253F7">
        <w:rPr>
          <w:rFonts w:ascii="Times New Roman" w:hAnsi="Times New Roman" w:cs="Times New Roman"/>
          <w:b/>
          <w:color w:val="000000"/>
        </w:rPr>
        <w:t>“Termination for Convenience by Owner”</w:t>
      </w:r>
      <w:r>
        <w:rPr>
          <w:rFonts w:ascii="Times New Roman" w:hAnsi="Times New Roman" w:cs="Times New Roman"/>
          <w:color w:val="000000"/>
        </w:rPr>
        <w:t>, regarding the rights and mechanism for contract termination;</w:t>
      </w:r>
    </w:p>
    <w:p w14:paraId="7A526AFE" w14:textId="77777777" w:rsid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Chapter 19.1 </w:t>
      </w:r>
      <w:r w:rsidRPr="002253F7">
        <w:rPr>
          <w:rFonts w:ascii="Times New Roman" w:hAnsi="Times New Roman" w:cs="Times New Roman"/>
          <w:b/>
          <w:color w:val="000000"/>
        </w:rPr>
        <w:t>“Change in Control of NuScale”</w:t>
      </w:r>
      <w:r>
        <w:rPr>
          <w:rFonts w:ascii="Times New Roman" w:hAnsi="Times New Roman" w:cs="Times New Roman"/>
          <w:color w:val="000000"/>
        </w:rPr>
        <w:t>, respectively Chapter 19.2 “</w:t>
      </w:r>
      <w:r w:rsidRPr="002253F7">
        <w:rPr>
          <w:rFonts w:ascii="Times New Roman" w:hAnsi="Times New Roman" w:cs="Times New Roman"/>
          <w:b/>
          <w:color w:val="000000"/>
        </w:rPr>
        <w:t>Change in Control of Any Other Subcontractor”</w:t>
      </w:r>
      <w:r>
        <w:rPr>
          <w:rFonts w:ascii="Times New Roman" w:hAnsi="Times New Roman" w:cs="Times New Roman"/>
          <w:color w:val="000000"/>
        </w:rPr>
        <w:t>, regarding certain modifications in the shareholders or management structure of NuScale;</w:t>
      </w:r>
    </w:p>
    <w:p w14:paraId="46DF9579" w14:textId="77777777" w:rsidR="00005120" w:rsidRPr="00605CC8"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The definition and interpretation of terms regarding NuScale abandonment events, respectively the definition and interpretation of NuScale Intellectual Property from annex “</w:t>
      </w:r>
      <w:r w:rsidRPr="00605CC8">
        <w:rPr>
          <w:rFonts w:ascii="Times New Roman" w:hAnsi="Times New Roman" w:cs="Times New Roman"/>
          <w:b/>
          <w:color w:val="000000"/>
        </w:rPr>
        <w:t>Schedule A Definitions and Interpretation Part 1</w:t>
      </w:r>
      <w:r>
        <w:rPr>
          <w:rFonts w:ascii="Times New Roman" w:hAnsi="Times New Roman" w:cs="Times New Roman"/>
          <w:color w:val="000000"/>
        </w:rPr>
        <w:t>”;</w:t>
      </w:r>
    </w:p>
    <w:p w14:paraId="0A761EE6"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B FEED Phase 2 Services</w:t>
      </w:r>
      <w:r w:rsidRPr="00EB018C">
        <w:rPr>
          <w:rFonts w:ascii="Times New Roman" w:hAnsi="Times New Roman" w:cs="Times New Roman"/>
          <w:color w:val="000000"/>
        </w:rPr>
        <w:t>” which presents in detail engineering and design services of FEED Phase 2;</w:t>
      </w:r>
    </w:p>
    <w:p w14:paraId="708C0C28" w14:textId="77777777" w:rsid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C Contractor Deliverables</w:t>
      </w:r>
      <w:r w:rsidRPr="00EB018C">
        <w:rPr>
          <w:rFonts w:ascii="Times New Roman" w:hAnsi="Times New Roman" w:cs="Times New Roman"/>
          <w:color w:val="000000"/>
        </w:rPr>
        <w:t>” which presents in great detail all deliverables and activities performed by the contractor for the execution of FEED Phase 2;</w:t>
      </w:r>
    </w:p>
    <w:p w14:paraId="47BB59FC"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Pr>
          <w:rFonts w:ascii="Times New Roman" w:hAnsi="Times New Roman" w:cs="Times New Roman"/>
          <w:color w:val="000000"/>
        </w:rPr>
        <w:t xml:space="preserve">Information regarding cost breakdown and certain activities or information included in annex </w:t>
      </w:r>
      <w:r w:rsidRPr="00C507EC">
        <w:rPr>
          <w:rFonts w:ascii="Times New Roman" w:hAnsi="Times New Roman" w:cs="Times New Roman"/>
          <w:b/>
          <w:color w:val="000000"/>
        </w:rPr>
        <w:t>“Schedule D1 Milestone Table”</w:t>
      </w:r>
      <w:r>
        <w:rPr>
          <w:rFonts w:ascii="Times New Roman" w:hAnsi="Times New Roman" w:cs="Times New Roman"/>
          <w:color w:val="000000"/>
        </w:rPr>
        <w:t xml:space="preserve">, annex </w:t>
      </w:r>
      <w:r w:rsidRPr="00C507EC">
        <w:rPr>
          <w:rFonts w:ascii="Times New Roman" w:hAnsi="Times New Roman" w:cs="Times New Roman"/>
          <w:b/>
          <w:color w:val="000000"/>
        </w:rPr>
        <w:t>“Schedule D2 Commercials”</w:t>
      </w:r>
      <w:r>
        <w:rPr>
          <w:rFonts w:ascii="Times New Roman" w:hAnsi="Times New Roman" w:cs="Times New Roman"/>
          <w:color w:val="000000"/>
        </w:rPr>
        <w:t xml:space="preserve">, respectively annex </w:t>
      </w:r>
      <w:r w:rsidRPr="00C507EC">
        <w:rPr>
          <w:rFonts w:ascii="Times New Roman" w:hAnsi="Times New Roman" w:cs="Times New Roman"/>
          <w:b/>
          <w:color w:val="000000"/>
        </w:rPr>
        <w:t>“Schedule D3 Project Objectives and Structure”</w:t>
      </w:r>
      <w:r>
        <w:rPr>
          <w:rFonts w:ascii="Times New Roman" w:hAnsi="Times New Roman" w:cs="Times New Roman"/>
          <w:color w:val="000000"/>
        </w:rPr>
        <w:t>;</w:t>
      </w:r>
    </w:p>
    <w:p w14:paraId="7977F155"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w:t>
      </w:r>
      <w:r>
        <w:rPr>
          <w:rFonts w:ascii="Times New Roman" w:hAnsi="Times New Roman" w:cs="Times New Roman"/>
          <w:color w:val="000000"/>
        </w:rPr>
        <w:t>n</w:t>
      </w:r>
      <w:r w:rsidRPr="00EB018C">
        <w:rPr>
          <w:rFonts w:ascii="Times New Roman" w:hAnsi="Times New Roman" w:cs="Times New Roman"/>
          <w:color w:val="000000"/>
        </w:rPr>
        <w:t>e</w:t>
      </w:r>
      <w:r>
        <w:rPr>
          <w:rFonts w:ascii="Times New Roman" w:hAnsi="Times New Roman" w:cs="Times New Roman"/>
          <w:color w:val="000000"/>
        </w:rPr>
        <w:t>x</w:t>
      </w:r>
      <w:r w:rsidRPr="00EB018C">
        <w:rPr>
          <w:rFonts w:ascii="Times New Roman" w:hAnsi="Times New Roman" w:cs="Times New Roman"/>
          <w:color w:val="000000"/>
        </w:rPr>
        <w:t xml:space="preserve"> “</w:t>
      </w:r>
      <w:r w:rsidRPr="00EB018C">
        <w:rPr>
          <w:rFonts w:ascii="Times New Roman" w:hAnsi="Times New Roman" w:cs="Times New Roman"/>
          <w:b/>
          <w:color w:val="000000"/>
        </w:rPr>
        <w:t>Schedule E1 Parent Company Guarantee”</w:t>
      </w:r>
      <w:r w:rsidRPr="00EB018C">
        <w:rPr>
          <w:rFonts w:ascii="Times New Roman" w:hAnsi="Times New Roman" w:cs="Times New Roman"/>
          <w:color w:val="000000"/>
        </w:rPr>
        <w:t xml:space="preserve"> which presents in detail the contractual mechanism that governs the parent company guarantee;</w:t>
      </w:r>
    </w:p>
    <w:p w14:paraId="09725373"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E2 Form of Performance Bond</w:t>
      </w:r>
      <w:r w:rsidRPr="00EB018C">
        <w:rPr>
          <w:rFonts w:ascii="Times New Roman" w:hAnsi="Times New Roman" w:cs="Times New Roman"/>
          <w:color w:val="000000"/>
        </w:rPr>
        <w:t>” which presents in detail the contractual mechanism through which the performance bond for FEED Phase 2 execution is enabled;</w:t>
      </w:r>
    </w:p>
    <w:p w14:paraId="01F82924"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F</w:t>
      </w:r>
      <w:r w:rsidRPr="00EB018C">
        <w:rPr>
          <w:rFonts w:ascii="Times New Roman" w:hAnsi="Times New Roman" w:cs="Times New Roman"/>
          <w:color w:val="000000"/>
        </w:rPr>
        <w:t xml:space="preserve"> </w:t>
      </w:r>
      <w:r w:rsidRPr="00EB018C">
        <w:rPr>
          <w:rFonts w:ascii="Times New Roman" w:hAnsi="Times New Roman" w:cs="Times New Roman"/>
          <w:b/>
          <w:color w:val="000000"/>
        </w:rPr>
        <w:t>Form of Variation Order</w:t>
      </w:r>
      <w:r w:rsidRPr="00EB018C">
        <w:rPr>
          <w:rFonts w:ascii="Times New Roman" w:hAnsi="Times New Roman" w:cs="Times New Roman"/>
          <w:color w:val="000000"/>
        </w:rPr>
        <w:t>” which presents the process through which potential variation orders may be addressed during FEED Phase 2 contract;</w:t>
      </w:r>
    </w:p>
    <w:p w14:paraId="284EECB2"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G Form of Contractor Invoice</w:t>
      </w:r>
      <w:r w:rsidRPr="00EB018C">
        <w:rPr>
          <w:rFonts w:ascii="Times New Roman" w:hAnsi="Times New Roman" w:cs="Times New Roman"/>
          <w:color w:val="000000"/>
        </w:rPr>
        <w:t xml:space="preserve">” which presents the invoicing mechanism for FEED Phase 2 deliverables;  </w:t>
      </w:r>
    </w:p>
    <w:p w14:paraId="76DB3F5B"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H Codes and Standards</w:t>
      </w:r>
      <w:r w:rsidRPr="00EB018C">
        <w:rPr>
          <w:rFonts w:ascii="Times New Roman" w:hAnsi="Times New Roman" w:cs="Times New Roman"/>
          <w:color w:val="000000"/>
        </w:rPr>
        <w:t>” which presents in detail the codes and standards utilized in the execution of services during FEED Phase 2;</w:t>
      </w:r>
    </w:p>
    <w:p w14:paraId="541A7CF8"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I Deliverable Schedule</w:t>
      </w:r>
      <w:r w:rsidRPr="00EB018C">
        <w:rPr>
          <w:rFonts w:ascii="Times New Roman" w:hAnsi="Times New Roman" w:cs="Times New Roman"/>
          <w:color w:val="000000"/>
        </w:rPr>
        <w:t xml:space="preserve">” which presents in detail the calendar of FEED Phase 2 deliverables; </w:t>
      </w:r>
    </w:p>
    <w:p w14:paraId="17391A20"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J Approved Subcontractors</w:t>
      </w:r>
      <w:r w:rsidRPr="00EB018C">
        <w:rPr>
          <w:rFonts w:ascii="Times New Roman" w:hAnsi="Times New Roman" w:cs="Times New Roman"/>
          <w:color w:val="000000"/>
        </w:rPr>
        <w:t>” which presents the subcontractors list approved for conducting FEED Phase 2 activities;</w:t>
      </w:r>
    </w:p>
    <w:p w14:paraId="04AC03E9"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K Contractor Permits Licenses</w:t>
      </w:r>
      <w:r w:rsidRPr="00EB018C">
        <w:rPr>
          <w:rFonts w:ascii="Times New Roman" w:hAnsi="Times New Roman" w:cs="Times New Roman"/>
          <w:color w:val="000000"/>
        </w:rPr>
        <w:t xml:space="preserve">” which contains list of certificates and authorizations obtained by the contractor in order to perform FEED Phase 2 services; </w:t>
      </w:r>
    </w:p>
    <w:p w14:paraId="561EC3A8"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L Insurance Document</w:t>
      </w:r>
      <w:r w:rsidRPr="00EB018C">
        <w:rPr>
          <w:rFonts w:ascii="Times New Roman" w:hAnsi="Times New Roman" w:cs="Times New Roman"/>
          <w:color w:val="000000"/>
        </w:rPr>
        <w:t xml:space="preserve">” regarding insurances with respect to FEED Phase 2 contracts; </w:t>
      </w:r>
    </w:p>
    <w:p w14:paraId="7544DED7"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M Key Personnel</w:t>
      </w:r>
      <w:r w:rsidRPr="00EB018C">
        <w:rPr>
          <w:rFonts w:ascii="Times New Roman" w:hAnsi="Times New Roman" w:cs="Times New Roman"/>
          <w:color w:val="000000"/>
        </w:rPr>
        <w:t xml:space="preserve">” which presents the Resume of key personnel, represented herein by the Contractor’s Project Director for FEED Phase 2; </w:t>
      </w:r>
    </w:p>
    <w:p w14:paraId="6E25E400"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N Procurement</w:t>
      </w:r>
      <w:r w:rsidRPr="00EB018C">
        <w:rPr>
          <w:rFonts w:ascii="Times New Roman" w:hAnsi="Times New Roman" w:cs="Times New Roman"/>
          <w:color w:val="000000"/>
        </w:rPr>
        <w:t xml:space="preserve">” which presents procurement procedures that are to be utilized during the execution of FEED Phase 2; </w:t>
      </w:r>
    </w:p>
    <w:p w14:paraId="3EA8C49E"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O1 20 Days Review Process by RoPower</w:t>
      </w:r>
      <w:r w:rsidRPr="00EB018C">
        <w:rPr>
          <w:rFonts w:ascii="Times New Roman" w:hAnsi="Times New Roman" w:cs="Times New Roman"/>
          <w:color w:val="000000"/>
        </w:rPr>
        <w:t>” which presents in detail the deliverables list with a 20-day review process period by RoPower;</w:t>
      </w:r>
    </w:p>
    <w:p w14:paraId="6B8BBB89"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lastRenderedPageBreak/>
        <w:t>Annex “</w:t>
      </w:r>
      <w:r w:rsidRPr="00EB018C">
        <w:rPr>
          <w:rFonts w:ascii="Times New Roman" w:hAnsi="Times New Roman" w:cs="Times New Roman"/>
          <w:b/>
          <w:color w:val="000000"/>
        </w:rPr>
        <w:t>Schedule O2 20 Days Review Process by RoPower &amp; Authorities</w:t>
      </w:r>
      <w:r w:rsidRPr="00EB018C">
        <w:rPr>
          <w:rFonts w:ascii="Times New Roman" w:hAnsi="Times New Roman" w:cs="Times New Roman"/>
          <w:color w:val="000000"/>
        </w:rPr>
        <w:t>” which presents in detail the deliverables list with a 20-day review process period by RoPower and authorities;</w:t>
      </w:r>
    </w:p>
    <w:p w14:paraId="6AA66450"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O3 10 Days Review Process</w:t>
      </w:r>
      <w:r w:rsidRPr="00EB018C">
        <w:rPr>
          <w:rFonts w:ascii="Times New Roman" w:hAnsi="Times New Roman" w:cs="Times New Roman"/>
          <w:color w:val="000000"/>
        </w:rPr>
        <w:t>” which presents in detail the deliverables list with a 10-day review process period;</w:t>
      </w:r>
    </w:p>
    <w:p w14:paraId="0C63407C"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O4 2 Days Review Proces by RoPower</w:t>
      </w:r>
      <w:r w:rsidRPr="00EB018C">
        <w:rPr>
          <w:rFonts w:ascii="Times New Roman" w:hAnsi="Times New Roman" w:cs="Times New Roman"/>
          <w:color w:val="000000"/>
        </w:rPr>
        <w:t>” which presents in detail the deliverables list with a 2-day review process period by RoPower;</w:t>
      </w:r>
    </w:p>
    <w:p w14:paraId="56AD8C58"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P Rely Upon Information</w:t>
      </w:r>
      <w:r w:rsidRPr="00EB018C">
        <w:rPr>
          <w:rFonts w:ascii="Times New Roman" w:hAnsi="Times New Roman" w:cs="Times New Roman"/>
          <w:color w:val="000000"/>
        </w:rPr>
        <w:t>” which presents a list of reference information (i.e. FEED Phase 2 deliverables, Licensing Basis Document, NuScale deliverables within the Technology License Agreement, other technical information) which shall constitute the basis for the execution of activities covered in the contract;</w:t>
      </w:r>
    </w:p>
    <w:p w14:paraId="5AEDE7C1"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Q Summary of Activities (HG907/2016)</w:t>
      </w:r>
      <w:r w:rsidRPr="00EB018C">
        <w:rPr>
          <w:rFonts w:ascii="Times New Roman" w:hAnsi="Times New Roman" w:cs="Times New Roman"/>
          <w:color w:val="000000"/>
        </w:rPr>
        <w:t xml:space="preserve">” which presents the breakdown of responsibilities regarding execution of activities required to meet legal requirements for developing feasibility studies; </w:t>
      </w:r>
    </w:p>
    <w:p w14:paraId="73E0C481"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R Form of Weekly &amp; Monthly Progress Report</w:t>
      </w:r>
      <w:r w:rsidRPr="00EB018C">
        <w:rPr>
          <w:rFonts w:ascii="Times New Roman" w:hAnsi="Times New Roman" w:cs="Times New Roman"/>
          <w:color w:val="000000"/>
        </w:rPr>
        <w:t xml:space="preserve">” which presents the structure of the recurrent reports required to monitor Project evolution during FEED Phase 2; </w:t>
      </w:r>
    </w:p>
    <w:p w14:paraId="10DF9090"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S Final Acceptance Certificate</w:t>
      </w:r>
      <w:r w:rsidRPr="00EB018C">
        <w:rPr>
          <w:rFonts w:ascii="Times New Roman" w:hAnsi="Times New Roman" w:cs="Times New Roman"/>
          <w:color w:val="000000"/>
        </w:rPr>
        <w:t>” which presents the final acceptance certificate form for FEED Phase 2 deliverables;</w:t>
      </w:r>
    </w:p>
    <w:p w14:paraId="6BB995FD" w14:textId="77777777" w:rsidR="00005120" w:rsidRPr="00EB018C"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T Priority Deliverables</w:t>
      </w:r>
      <w:r w:rsidRPr="00EB018C">
        <w:rPr>
          <w:rFonts w:ascii="Times New Roman" w:hAnsi="Times New Roman" w:cs="Times New Roman"/>
          <w:color w:val="000000"/>
        </w:rPr>
        <w:t xml:space="preserve">” which presents the list of priority deliverables for FEED Phase 2 and the contractual deadlines for these; </w:t>
      </w:r>
    </w:p>
    <w:p w14:paraId="49BBF529" w14:textId="77777777" w:rsidR="00005120" w:rsidRDefault="00005120" w:rsidP="00005120">
      <w:pPr>
        <w:pStyle w:val="ListParagraph"/>
        <w:widowControl w:val="0"/>
        <w:numPr>
          <w:ilvl w:val="0"/>
          <w:numId w:val="31"/>
        </w:numPr>
        <w:autoSpaceDE w:val="0"/>
        <w:autoSpaceDN w:val="0"/>
        <w:adjustRightInd w:val="0"/>
        <w:spacing w:after="0" w:line="240" w:lineRule="auto"/>
        <w:ind w:right="-23"/>
        <w:jc w:val="both"/>
        <w:rPr>
          <w:rFonts w:ascii="Times New Roman" w:hAnsi="Times New Roman" w:cs="Times New Roman"/>
          <w:color w:val="000000"/>
        </w:rPr>
      </w:pPr>
      <w:r w:rsidRPr="00EB018C">
        <w:rPr>
          <w:rFonts w:ascii="Times New Roman" w:hAnsi="Times New Roman" w:cs="Times New Roman"/>
          <w:color w:val="000000"/>
        </w:rPr>
        <w:t>Annex “</w:t>
      </w:r>
      <w:r w:rsidRPr="00EB018C">
        <w:rPr>
          <w:rFonts w:ascii="Times New Roman" w:hAnsi="Times New Roman" w:cs="Times New Roman"/>
          <w:b/>
          <w:color w:val="000000"/>
        </w:rPr>
        <w:t>Schedule U Liquidated Damages</w:t>
      </w:r>
      <w:r w:rsidRPr="00EB018C">
        <w:rPr>
          <w:rFonts w:ascii="Times New Roman" w:hAnsi="Times New Roman" w:cs="Times New Roman"/>
          <w:color w:val="000000"/>
        </w:rPr>
        <w:t>” which presents the list of penalties and the mechanism applicable in the case of priority deliverables in FEED Phase 2.</w:t>
      </w:r>
    </w:p>
    <w:p w14:paraId="69B1D626" w14:textId="77777777" w:rsidR="0010154D" w:rsidRDefault="0010154D" w:rsidP="0010154D">
      <w:pPr>
        <w:widowControl w:val="0"/>
        <w:autoSpaceDE w:val="0"/>
        <w:autoSpaceDN w:val="0"/>
        <w:adjustRightInd w:val="0"/>
        <w:spacing w:after="0" w:line="240" w:lineRule="auto"/>
        <w:ind w:left="1440" w:right="-23"/>
        <w:jc w:val="both"/>
        <w:rPr>
          <w:rFonts w:ascii="Times New Roman" w:hAnsi="Times New Roman"/>
          <w:color w:val="000000"/>
        </w:rPr>
      </w:pPr>
    </w:p>
    <w:p w14:paraId="6585CF69" w14:textId="74D6A62C" w:rsidR="0010154D" w:rsidRPr="0010154D" w:rsidRDefault="0010154D" w:rsidP="0010154D">
      <w:pPr>
        <w:widowControl w:val="0"/>
        <w:autoSpaceDE w:val="0"/>
        <w:autoSpaceDN w:val="0"/>
        <w:adjustRightInd w:val="0"/>
        <w:spacing w:after="0" w:line="240" w:lineRule="auto"/>
        <w:ind w:left="1440" w:right="-23"/>
        <w:jc w:val="both"/>
        <w:rPr>
          <w:rFonts w:ascii="Times New Roman" w:hAnsi="Times New Roman"/>
          <w:color w:val="000000"/>
        </w:rPr>
      </w:pPr>
      <w:bookmarkStart w:id="2" w:name="_GoBack"/>
      <w:bookmarkEnd w:id="2"/>
      <w:r w:rsidRPr="0010154D">
        <w:rPr>
          <w:rFonts w:ascii="Times New Roman" w:hAnsi="Times New Roman"/>
          <w:color w:val="000000"/>
        </w:rPr>
        <w:t>Regarding the two FEED 2 contracts, both the “Offshore” and the “Onshore” share the same annexes.</w:t>
      </w:r>
    </w:p>
    <w:p w14:paraId="5972E54E" w14:textId="77777777" w:rsidR="0010154D" w:rsidRPr="0010154D" w:rsidRDefault="0010154D" w:rsidP="0010154D">
      <w:pPr>
        <w:widowControl w:val="0"/>
        <w:autoSpaceDE w:val="0"/>
        <w:autoSpaceDN w:val="0"/>
        <w:adjustRightInd w:val="0"/>
        <w:spacing w:after="0" w:line="240" w:lineRule="auto"/>
        <w:ind w:right="-23"/>
        <w:jc w:val="both"/>
        <w:rPr>
          <w:rFonts w:ascii="Times New Roman" w:hAnsi="Times New Roman" w:cs="Times New Roman"/>
          <w:color w:val="000000"/>
        </w:rPr>
      </w:pPr>
    </w:p>
    <w:p w14:paraId="4AB8EF40" w14:textId="77777777" w:rsidR="00005120" w:rsidRDefault="00005120" w:rsidP="00005120">
      <w:pPr>
        <w:widowControl w:val="0"/>
        <w:autoSpaceDE w:val="0"/>
        <w:autoSpaceDN w:val="0"/>
        <w:adjustRightInd w:val="0"/>
        <w:spacing w:after="0" w:line="240" w:lineRule="auto"/>
        <w:ind w:right="-23"/>
        <w:jc w:val="both"/>
        <w:rPr>
          <w:rFonts w:ascii="Times New Roman" w:hAnsi="Times New Roman" w:cs="Times New Roman"/>
          <w:color w:val="000000"/>
        </w:rPr>
      </w:pPr>
    </w:p>
    <w:p w14:paraId="33BF3D6C" w14:textId="2D2452FF" w:rsidR="00005120" w:rsidRPr="00005120" w:rsidRDefault="00005120" w:rsidP="00005120">
      <w:pPr>
        <w:pStyle w:val="ListParagraph"/>
        <w:widowControl w:val="0"/>
        <w:numPr>
          <w:ilvl w:val="0"/>
          <w:numId w:val="39"/>
        </w:numPr>
        <w:autoSpaceDE w:val="0"/>
        <w:autoSpaceDN w:val="0"/>
        <w:adjustRightInd w:val="0"/>
        <w:spacing w:after="0" w:line="240" w:lineRule="auto"/>
        <w:ind w:right="-23"/>
        <w:jc w:val="both"/>
        <w:rPr>
          <w:rFonts w:ascii="Times New Roman" w:hAnsi="Times New Roman" w:cs="Times New Roman"/>
          <w:color w:val="000000"/>
        </w:rPr>
      </w:pPr>
      <w:r w:rsidRPr="00005120">
        <w:rPr>
          <w:rFonts w:ascii="Times New Roman" w:hAnsi="Times New Roman" w:cs="Times New Roman"/>
          <w:b/>
          <w:color w:val="000000"/>
        </w:rPr>
        <w:t xml:space="preserve">The Technology License Agreement </w:t>
      </w:r>
      <w:r w:rsidRPr="00005120">
        <w:rPr>
          <w:rFonts w:ascii="Times New Roman" w:hAnsi="Times New Roman" w:cs="Times New Roman"/>
          <w:color w:val="000000"/>
        </w:rPr>
        <w:t>(“TLA”)</w:t>
      </w:r>
      <w:r w:rsidR="00042C4D">
        <w:rPr>
          <w:rFonts w:ascii="Times New Roman" w:hAnsi="Times New Roman" w:cs="Times New Roman"/>
          <w:color w:val="000000"/>
        </w:rPr>
        <w:t>,</w:t>
      </w:r>
      <w:r w:rsidR="00042C4D">
        <w:t xml:space="preserve"> </w:t>
      </w:r>
      <w:r w:rsidR="00042C4D">
        <w:rPr>
          <w:rFonts w:ascii="Times New Roman" w:hAnsi="Times New Roman" w:cs="Times New Roman"/>
          <w:color w:val="000000"/>
        </w:rPr>
        <w:t xml:space="preserve">with the exception of the information from annex </w:t>
      </w:r>
      <w:r w:rsidR="00042C4D" w:rsidRPr="00042C4D">
        <w:rPr>
          <w:rFonts w:ascii="Times New Roman" w:hAnsi="Times New Roman" w:cs="Times New Roman"/>
          <w:b/>
          <w:color w:val="000000"/>
        </w:rPr>
        <w:t>“Exhibit A Licensed Technology”,</w:t>
      </w:r>
      <w:r w:rsidR="00042C4D">
        <w:rPr>
          <w:rFonts w:ascii="Times New Roman" w:hAnsi="Times New Roman" w:cs="Times New Roman"/>
          <w:color w:val="000000"/>
        </w:rPr>
        <w:t xml:space="preserve"> respectively annex </w:t>
      </w:r>
      <w:r w:rsidR="00042C4D" w:rsidRPr="00042C4D">
        <w:rPr>
          <w:rFonts w:ascii="Times New Roman" w:hAnsi="Times New Roman" w:cs="Times New Roman"/>
          <w:b/>
          <w:color w:val="000000"/>
        </w:rPr>
        <w:t xml:space="preserve">“Exhibit B Form of </w:t>
      </w:r>
      <w:proofErr w:type="spellStart"/>
      <w:r w:rsidR="00042C4D" w:rsidRPr="00042C4D">
        <w:rPr>
          <w:rFonts w:ascii="Times New Roman" w:hAnsi="Times New Roman" w:cs="Times New Roman"/>
          <w:b/>
          <w:color w:val="000000"/>
        </w:rPr>
        <w:t>NuScale</w:t>
      </w:r>
      <w:proofErr w:type="spellEnd"/>
      <w:r w:rsidR="00042C4D" w:rsidRPr="00042C4D">
        <w:rPr>
          <w:rFonts w:ascii="Times New Roman" w:hAnsi="Times New Roman" w:cs="Times New Roman"/>
          <w:b/>
          <w:color w:val="000000"/>
        </w:rPr>
        <w:t xml:space="preserve"> Invoice”</w:t>
      </w:r>
      <w:r w:rsidR="00042C4D">
        <w:rPr>
          <w:rFonts w:ascii="Times New Roman" w:hAnsi="Times New Roman" w:cs="Times New Roman"/>
          <w:b/>
          <w:color w:val="000000"/>
        </w:rPr>
        <w:t>;</w:t>
      </w:r>
      <w:r w:rsidRPr="00005120">
        <w:rPr>
          <w:rFonts w:ascii="Times New Roman" w:hAnsi="Times New Roman" w:cs="Times New Roman"/>
          <w:color w:val="000000"/>
        </w:rPr>
        <w:t xml:space="preserve"> </w:t>
      </w:r>
    </w:p>
    <w:p w14:paraId="4AA42389" w14:textId="77777777" w:rsidR="00005120" w:rsidRPr="00EB018C" w:rsidRDefault="00005120" w:rsidP="00005120">
      <w:pPr>
        <w:pStyle w:val="ListParagraph"/>
        <w:rPr>
          <w:rFonts w:ascii="Times New Roman" w:hAnsi="Times New Roman" w:cs="Times New Roman"/>
          <w:bCs/>
        </w:rPr>
      </w:pPr>
    </w:p>
    <w:p w14:paraId="1BCE0E73" w14:textId="0E8DAB70" w:rsidR="0074520E" w:rsidRPr="0074520E" w:rsidRDefault="0074520E" w:rsidP="0074520E">
      <w:pPr>
        <w:pStyle w:val="ListParagraph"/>
        <w:numPr>
          <w:ilvl w:val="0"/>
          <w:numId w:val="39"/>
        </w:numPr>
        <w:jc w:val="both"/>
        <w:rPr>
          <w:rFonts w:ascii="Times New Roman" w:hAnsi="Times New Roman" w:cs="Times New Roman"/>
          <w:bCs/>
        </w:rPr>
      </w:pPr>
      <w:r w:rsidRPr="0074520E">
        <w:rPr>
          <w:rFonts w:ascii="Times New Roman" w:hAnsi="Times New Roman" w:cs="Times New Roman"/>
          <w:b/>
        </w:rPr>
        <w:t>Addendum no. 2  to the Loan Contract no. 1 from 16.08.2023</w:t>
      </w:r>
      <w:r w:rsidRPr="0074520E">
        <w:rPr>
          <w:rFonts w:ascii="Times New Roman" w:hAnsi="Times New Roman" w:cs="Times New Roman"/>
        </w:rPr>
        <w:t>, with the exception of certain information from Art. 2.1 regarding the value already used by the Borrower;</w:t>
      </w:r>
    </w:p>
    <w:p w14:paraId="4B0D0481" w14:textId="77777777" w:rsidR="0074520E" w:rsidRPr="00EB018C" w:rsidRDefault="0074520E" w:rsidP="0074520E">
      <w:pPr>
        <w:pStyle w:val="ListParagraph"/>
        <w:jc w:val="both"/>
        <w:rPr>
          <w:rFonts w:ascii="Times New Roman" w:hAnsi="Times New Roman" w:cs="Times New Roman"/>
          <w:bCs/>
        </w:rPr>
      </w:pPr>
    </w:p>
    <w:p w14:paraId="4D72A194" w14:textId="77777777" w:rsidR="0074520E" w:rsidRPr="006620D2" w:rsidRDefault="0074520E" w:rsidP="0074520E">
      <w:pPr>
        <w:pStyle w:val="ListParagraph"/>
        <w:numPr>
          <w:ilvl w:val="0"/>
          <w:numId w:val="39"/>
        </w:numPr>
        <w:jc w:val="both"/>
        <w:rPr>
          <w:rFonts w:ascii="Times New Roman" w:hAnsi="Times New Roman" w:cs="Times New Roman"/>
          <w:bCs/>
        </w:rPr>
      </w:pPr>
      <w:r>
        <w:rPr>
          <w:rFonts w:ascii="Times New Roman" w:hAnsi="Times New Roman" w:cs="Times New Roman"/>
          <w:b/>
        </w:rPr>
        <w:t xml:space="preserve">Addendum no. 2 to the </w:t>
      </w:r>
      <w:r w:rsidRPr="00EB018C">
        <w:rPr>
          <w:rFonts w:ascii="Times New Roman" w:hAnsi="Times New Roman" w:cs="Times New Roman"/>
          <w:b/>
        </w:rPr>
        <w:t>Mortgage Contract with SNN</w:t>
      </w:r>
      <w:r w:rsidRPr="000B0EE9">
        <w:rPr>
          <w:rFonts w:ascii="Times New Roman" w:hAnsi="Times New Roman" w:cs="Times New Roman"/>
        </w:rPr>
        <w:t>, with the exception of certain information from Art. 1.1 regarding the provisions of the mortgag</w:t>
      </w:r>
      <w:r>
        <w:rPr>
          <w:rFonts w:ascii="Times New Roman" w:hAnsi="Times New Roman" w:cs="Times New Roman"/>
        </w:rPr>
        <w:t>e</w:t>
      </w:r>
    </w:p>
    <w:p w14:paraId="43E97998" w14:textId="388B9711" w:rsidR="00F865A8" w:rsidRPr="00F865A8" w:rsidRDefault="001B6528" w:rsidP="003E7ABE">
      <w:pPr>
        <w:pStyle w:val="BodyText"/>
        <w:spacing w:before="77" w:line="260" w:lineRule="exact"/>
        <w:ind w:left="0" w:right="30"/>
        <w:jc w:val="both"/>
        <w:rPr>
          <w:rFonts w:cs="Times New Roman"/>
        </w:rPr>
      </w:pPr>
      <w:r w:rsidRPr="00F865A8">
        <w:rPr>
          <w:rFonts w:cs="Times New Roman"/>
        </w:rPr>
        <w:t xml:space="preserve">and that they are received by them under a confidentiality obligation and exclusively to the purpose of being informed about the approval in the </w:t>
      </w:r>
      <w:r w:rsidR="00C91962">
        <w:rPr>
          <w:rFonts w:cs="Times New Roman"/>
        </w:rPr>
        <w:t>Extrao</w:t>
      </w:r>
      <w:r w:rsidRPr="00F865A8">
        <w:rPr>
          <w:rFonts w:cs="Times New Roman"/>
        </w:rPr>
        <w:t>rdinary general Meeting of Shareholders of th</w:t>
      </w:r>
      <w:r w:rsidR="00896C26">
        <w:rPr>
          <w:rFonts w:cs="Times New Roman"/>
        </w:rPr>
        <w:t xml:space="preserve">e </w:t>
      </w:r>
      <w:r w:rsidR="000F4F40">
        <w:rPr>
          <w:rFonts w:cs="Times New Roman"/>
        </w:rPr>
        <w:t xml:space="preserve">revised </w:t>
      </w:r>
      <w:r w:rsidR="00896C26">
        <w:rPr>
          <w:rFonts w:cs="Times New Roman"/>
        </w:rPr>
        <w:t xml:space="preserve">agenda items presented </w:t>
      </w:r>
      <w:r w:rsidR="006D3272">
        <w:rPr>
          <w:rFonts w:cs="Times New Roman"/>
        </w:rPr>
        <w:t xml:space="preserve">as per above, </w:t>
      </w:r>
      <w:r w:rsidR="00896C26">
        <w:rPr>
          <w:rFonts w:cs="Times New Roman"/>
        </w:rPr>
        <w:t xml:space="preserve">at Art. 1 “Introductions and Definitions”, paragraph (1) – letters </w:t>
      </w:r>
      <w:r w:rsidR="0037323D">
        <w:rPr>
          <w:rFonts w:cs="Times New Roman"/>
        </w:rPr>
        <w:t>5</w:t>
      </w:r>
      <w:r w:rsidR="00896C26">
        <w:rPr>
          <w:rFonts w:cs="Times New Roman"/>
        </w:rPr>
        <w:t xml:space="preserve">) </w:t>
      </w:r>
      <w:r w:rsidR="0037323D">
        <w:rPr>
          <w:rFonts w:cs="Times New Roman"/>
        </w:rPr>
        <w:t>and</w:t>
      </w:r>
      <w:r w:rsidR="00896C26">
        <w:rPr>
          <w:rFonts w:cs="Times New Roman"/>
        </w:rPr>
        <w:t xml:space="preserve"> 1</w:t>
      </w:r>
      <w:r w:rsidR="0037323D">
        <w:rPr>
          <w:rFonts w:cs="Times New Roman"/>
        </w:rPr>
        <w:t>1</w:t>
      </w:r>
      <w:r w:rsidR="00896C26">
        <w:rPr>
          <w:rFonts w:cs="Times New Roman"/>
        </w:rPr>
        <w:t>).</w:t>
      </w:r>
    </w:p>
    <w:p w14:paraId="1DC1D337" w14:textId="4C1AC4E9" w:rsidR="00E507FB" w:rsidRPr="0066140F" w:rsidRDefault="0066140F" w:rsidP="0066140F">
      <w:pPr>
        <w:autoSpaceDE w:val="0"/>
        <w:autoSpaceDN w:val="0"/>
        <w:spacing w:before="173" w:after="0" w:line="240" w:lineRule="auto"/>
        <w:ind w:right="-60"/>
        <w:jc w:val="both"/>
        <w:rPr>
          <w:rFonts w:ascii="Times New Roman" w:hAnsi="Times New Roman" w:cs="Times New Roman"/>
        </w:rPr>
      </w:pPr>
      <w:r>
        <w:rPr>
          <w:rFonts w:ascii="Times New Roman" w:hAnsi="Times New Roman" w:cs="Times New Roman"/>
        </w:rPr>
        <w:t xml:space="preserve">(1) </w:t>
      </w:r>
      <w:r w:rsidR="001B6528" w:rsidRPr="0066140F">
        <w:rPr>
          <w:rFonts w:ascii="Times New Roman" w:hAnsi="Times New Roman" w:cs="Times New Roman"/>
        </w:rPr>
        <w:t>The Shareholder undertakes:</w:t>
      </w:r>
    </w:p>
    <w:p w14:paraId="2FD09EE7" w14:textId="77777777" w:rsidR="00E507FB" w:rsidRPr="00F865A8" w:rsidRDefault="001B6528">
      <w:pPr>
        <w:pStyle w:val="BodyText"/>
        <w:numPr>
          <w:ilvl w:val="2"/>
          <w:numId w:val="11"/>
        </w:numPr>
        <w:tabs>
          <w:tab w:val="left" w:pos="1543"/>
        </w:tabs>
        <w:ind w:right="-60" w:hanging="706"/>
        <w:jc w:val="both"/>
        <w:rPr>
          <w:rFonts w:cs="Times New Roman"/>
          <w:sz w:val="22"/>
          <w:szCs w:val="22"/>
        </w:rPr>
      </w:pPr>
      <w:r w:rsidRPr="00F865A8">
        <w:rPr>
          <w:rFonts w:cs="Times New Roman"/>
          <w:sz w:val="22"/>
          <w:szCs w:val="22"/>
        </w:rPr>
        <w:t>subject to paragraph (c), to keep the all Information Confidential in a safe and protected place and not to disclose any Confidential Information to any unauthorized person;</w:t>
      </w:r>
    </w:p>
    <w:p w14:paraId="716CC70D" w14:textId="56036671" w:rsidR="00E507FB" w:rsidRPr="00F865A8" w:rsidRDefault="001B6528">
      <w:pPr>
        <w:pStyle w:val="BodyText"/>
        <w:numPr>
          <w:ilvl w:val="2"/>
          <w:numId w:val="11"/>
        </w:numPr>
        <w:ind w:right="-60"/>
        <w:jc w:val="both"/>
        <w:rPr>
          <w:rFonts w:cs="Times New Roman"/>
          <w:sz w:val="22"/>
          <w:szCs w:val="22"/>
        </w:rPr>
      </w:pPr>
      <w:r w:rsidRPr="00F865A8">
        <w:rPr>
          <w:rFonts w:cs="Times New Roman"/>
          <w:sz w:val="22"/>
          <w:szCs w:val="22"/>
        </w:rPr>
        <w:t xml:space="preserve">subject to the mandatory legal provisions, to use the Confidential Information exclusively to the purpose mentioned above regarding their vote in </w:t>
      </w:r>
      <w:r w:rsidR="00C91962">
        <w:rPr>
          <w:rFonts w:cs="Times New Roman"/>
          <w:sz w:val="22"/>
          <w:szCs w:val="22"/>
        </w:rPr>
        <w:t>E</w:t>
      </w:r>
      <w:r w:rsidRPr="00F865A8">
        <w:rPr>
          <w:rFonts w:cs="Times New Roman"/>
          <w:sz w:val="22"/>
          <w:szCs w:val="22"/>
        </w:rPr>
        <w:t xml:space="preserve">GMS on </w:t>
      </w:r>
      <w:r w:rsidR="00406D0B" w:rsidRPr="00F865A8">
        <w:rPr>
          <w:rFonts w:cs="Times New Roman"/>
          <w:sz w:val="22"/>
          <w:szCs w:val="22"/>
        </w:rPr>
        <w:t>17.04.2024</w:t>
      </w:r>
      <w:r w:rsidRPr="00F865A8">
        <w:rPr>
          <w:rFonts w:cs="Times New Roman"/>
          <w:sz w:val="22"/>
          <w:szCs w:val="22"/>
        </w:rPr>
        <w:t>, and to no other purpose, including, but without limitation, the disclosure to a competitor of SNN or to the press;</w:t>
      </w:r>
    </w:p>
    <w:p w14:paraId="751D3455" w14:textId="0910B351" w:rsidR="00406D0B" w:rsidRPr="00F865A8" w:rsidRDefault="001B6528" w:rsidP="00503D2F">
      <w:pPr>
        <w:pStyle w:val="BodyText"/>
        <w:numPr>
          <w:ilvl w:val="2"/>
          <w:numId w:val="11"/>
        </w:numPr>
        <w:ind w:right="-60"/>
        <w:jc w:val="both"/>
        <w:rPr>
          <w:rFonts w:cs="Times New Roman"/>
          <w:sz w:val="22"/>
          <w:szCs w:val="22"/>
        </w:rPr>
      </w:pPr>
      <w:r w:rsidRPr="00F865A8">
        <w:rPr>
          <w:rFonts w:cs="Times New Roman"/>
          <w:sz w:val="22"/>
          <w:szCs w:val="22"/>
        </w:rPr>
        <w:t xml:space="preserve">not to disclose, without the prior written consent of SNN, any part of the Confidential Information and/or Confidential Information as a whole, to any persons other than their Representatives, consultants or Affiliates (whose identity was previously notified to SNN) solely on the principle of ‘need to know’, therefore only to those who, in every case, should know the Confidential Information in order to evaluate or otherwise advise the Shareholder about how to vote in the </w:t>
      </w:r>
      <w:r w:rsidR="00C91962">
        <w:rPr>
          <w:rFonts w:cs="Times New Roman"/>
          <w:sz w:val="22"/>
          <w:szCs w:val="22"/>
        </w:rPr>
        <w:t>E</w:t>
      </w:r>
      <w:r w:rsidRPr="00F865A8">
        <w:rPr>
          <w:rFonts w:cs="Times New Roman"/>
          <w:sz w:val="22"/>
          <w:szCs w:val="22"/>
        </w:rPr>
        <w:t xml:space="preserve">GMS, </w:t>
      </w:r>
      <w:r w:rsidR="006D3272">
        <w:rPr>
          <w:rFonts w:cs="Times New Roman"/>
          <w:sz w:val="22"/>
          <w:szCs w:val="22"/>
        </w:rPr>
        <w:t xml:space="preserve">that will occur on 17.04.2024, </w:t>
      </w:r>
      <w:r w:rsidRPr="00F865A8">
        <w:rPr>
          <w:rFonts w:cs="Times New Roman"/>
          <w:sz w:val="22"/>
          <w:szCs w:val="22"/>
        </w:rPr>
        <w:t>as concerns the</w:t>
      </w:r>
      <w:r w:rsidRPr="00F865A8">
        <w:rPr>
          <w:rFonts w:cs="Times New Roman"/>
          <w:b/>
          <w:sz w:val="22"/>
          <w:szCs w:val="22"/>
        </w:rPr>
        <w:t xml:space="preserve"> </w:t>
      </w:r>
      <w:r w:rsidRPr="00F865A8">
        <w:rPr>
          <w:rFonts w:cs="Times New Roman"/>
          <w:sz w:val="22"/>
          <w:szCs w:val="22"/>
        </w:rPr>
        <w:t xml:space="preserve">approval of the </w:t>
      </w:r>
      <w:r w:rsidR="006D7A21">
        <w:rPr>
          <w:rFonts w:cs="Times New Roman"/>
          <w:sz w:val="22"/>
          <w:szCs w:val="22"/>
        </w:rPr>
        <w:t xml:space="preserve">revised </w:t>
      </w:r>
      <w:r w:rsidR="006D3272">
        <w:rPr>
          <w:rFonts w:cs="Times New Roman"/>
          <w:sz w:val="22"/>
          <w:szCs w:val="22"/>
        </w:rPr>
        <w:t xml:space="preserve">agenda items presented as per above, at Art. 1 “Introductions and Definitions”, paragraph (1) – letters </w:t>
      </w:r>
      <w:r w:rsidR="006D7A21">
        <w:rPr>
          <w:rFonts w:cs="Times New Roman"/>
          <w:sz w:val="22"/>
          <w:szCs w:val="22"/>
        </w:rPr>
        <w:t>5</w:t>
      </w:r>
      <w:r w:rsidR="006D3272">
        <w:rPr>
          <w:rFonts w:cs="Times New Roman"/>
          <w:sz w:val="22"/>
          <w:szCs w:val="22"/>
        </w:rPr>
        <w:t xml:space="preserve">) </w:t>
      </w:r>
      <w:r w:rsidR="006D7A21">
        <w:rPr>
          <w:rFonts w:cs="Times New Roman"/>
          <w:sz w:val="22"/>
          <w:szCs w:val="22"/>
        </w:rPr>
        <w:t xml:space="preserve">and </w:t>
      </w:r>
      <w:r w:rsidR="006D3272">
        <w:rPr>
          <w:rFonts w:cs="Times New Roman"/>
          <w:sz w:val="22"/>
          <w:szCs w:val="22"/>
        </w:rPr>
        <w:t>1</w:t>
      </w:r>
      <w:r w:rsidR="006D7A21">
        <w:rPr>
          <w:rFonts w:cs="Times New Roman"/>
          <w:sz w:val="22"/>
          <w:szCs w:val="22"/>
        </w:rPr>
        <w:t>1</w:t>
      </w:r>
      <w:r w:rsidR="006D3272">
        <w:rPr>
          <w:rFonts w:cs="Times New Roman"/>
          <w:sz w:val="22"/>
          <w:szCs w:val="22"/>
        </w:rPr>
        <w:t>).</w:t>
      </w:r>
    </w:p>
    <w:p w14:paraId="7C6D8F65" w14:textId="77777777" w:rsidR="00E507FB" w:rsidRPr="00F865A8" w:rsidRDefault="001B6528" w:rsidP="00503D2F">
      <w:pPr>
        <w:pStyle w:val="BodyText"/>
        <w:numPr>
          <w:ilvl w:val="2"/>
          <w:numId w:val="11"/>
        </w:numPr>
        <w:ind w:right="-60"/>
        <w:jc w:val="both"/>
        <w:rPr>
          <w:rFonts w:cs="Times New Roman"/>
          <w:sz w:val="22"/>
          <w:szCs w:val="22"/>
        </w:rPr>
      </w:pPr>
      <w:r w:rsidRPr="00F865A8">
        <w:rPr>
          <w:rFonts w:cs="Times New Roman"/>
          <w:sz w:val="22"/>
          <w:szCs w:val="22"/>
        </w:rPr>
        <w:t xml:space="preserve">to ensure that every person that Confidential Information is disclosed to, as permitted under the </w:t>
      </w:r>
      <w:r w:rsidRPr="00F865A8">
        <w:rPr>
          <w:rFonts w:cs="Times New Roman"/>
          <w:sz w:val="22"/>
          <w:szCs w:val="22"/>
        </w:rPr>
        <w:lastRenderedPageBreak/>
        <w:t>paragraph (c), is informed (before such disclosure) about the terms of this Agreement and will observe them as if they were a party to it;</w:t>
      </w:r>
    </w:p>
    <w:p w14:paraId="122312E6" w14:textId="77777777" w:rsidR="00E507FB" w:rsidRPr="00F865A8" w:rsidRDefault="001B6528">
      <w:pPr>
        <w:pStyle w:val="BodyText"/>
        <w:numPr>
          <w:ilvl w:val="2"/>
          <w:numId w:val="11"/>
        </w:numPr>
        <w:ind w:right="-60"/>
        <w:jc w:val="both"/>
        <w:rPr>
          <w:rFonts w:cs="Times New Roman"/>
          <w:sz w:val="22"/>
          <w:szCs w:val="22"/>
        </w:rPr>
      </w:pPr>
      <w:r w:rsidRPr="00F865A8">
        <w:rPr>
          <w:rFonts w:cs="Times New Roman"/>
          <w:sz w:val="22"/>
          <w:szCs w:val="22"/>
        </w:rPr>
        <w:t>to take responsibility for any violation of the terms of this Confidentiality Agreement by any other person that information is disclosed to;</w:t>
      </w:r>
    </w:p>
    <w:p w14:paraId="6698C91C" w14:textId="77777777" w:rsidR="00E507FB" w:rsidRPr="00F865A8" w:rsidRDefault="001B6528">
      <w:pPr>
        <w:pStyle w:val="BodyText"/>
        <w:numPr>
          <w:ilvl w:val="2"/>
          <w:numId w:val="11"/>
        </w:numPr>
        <w:ind w:right="-60"/>
        <w:jc w:val="both"/>
        <w:rPr>
          <w:rFonts w:cs="Times New Roman"/>
          <w:sz w:val="22"/>
          <w:szCs w:val="22"/>
        </w:rPr>
      </w:pPr>
      <w:r w:rsidRPr="00F865A8">
        <w:rPr>
          <w:rFonts w:cs="Times New Roman"/>
          <w:sz w:val="22"/>
          <w:szCs w:val="22"/>
        </w:rPr>
        <w:t>to apply and to ensure that every person that Confidential Information is disclosed to, according to paragraph (c), applies the security measures necessary and appropriate in technical terms to protect the Confidential Information against the unauthorizes access of third parties, in any case, at least the security measures and the due diligence that the Shareholder usually applies to their own confidential information;</w:t>
      </w:r>
    </w:p>
    <w:p w14:paraId="0E6822EC" w14:textId="77777777" w:rsidR="00E507FB" w:rsidRPr="00F865A8" w:rsidRDefault="001B6528">
      <w:pPr>
        <w:pStyle w:val="BodyText"/>
        <w:numPr>
          <w:ilvl w:val="2"/>
          <w:numId w:val="11"/>
        </w:numPr>
        <w:ind w:right="-60"/>
        <w:jc w:val="both"/>
        <w:rPr>
          <w:rFonts w:cs="Times New Roman"/>
          <w:sz w:val="22"/>
          <w:szCs w:val="22"/>
        </w:rPr>
      </w:pPr>
      <w:r w:rsidRPr="00F865A8">
        <w:rPr>
          <w:rFonts w:cs="Times New Roman"/>
          <w:sz w:val="22"/>
          <w:szCs w:val="22"/>
        </w:rPr>
        <w:t>to immediately inform SNN in writing regarding any current / potential threat and/or abusive use, any dissemination and/or any violation of this Agreement concerning the Confidential Information;</w:t>
      </w:r>
    </w:p>
    <w:p w14:paraId="4C1072DA" w14:textId="1A94EC3E" w:rsidR="00E507FB" w:rsidRDefault="001B6528">
      <w:pPr>
        <w:pStyle w:val="BodyText"/>
        <w:numPr>
          <w:ilvl w:val="2"/>
          <w:numId w:val="11"/>
        </w:numPr>
        <w:ind w:right="-60"/>
        <w:jc w:val="both"/>
        <w:rPr>
          <w:rFonts w:cs="Times New Roman"/>
          <w:sz w:val="22"/>
          <w:szCs w:val="22"/>
        </w:rPr>
      </w:pPr>
      <w:r w:rsidRPr="00F865A8">
        <w:rPr>
          <w:rFonts w:cs="Times New Roman"/>
          <w:sz w:val="22"/>
          <w:szCs w:val="22"/>
        </w:rPr>
        <w:t>to observe and determine their Representatives to observe all the laws applicable to personal data protection, including the EU Regulation no. 679/2016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14:paraId="5E37CF94" w14:textId="77777777" w:rsidR="0066140F" w:rsidRPr="00F865A8" w:rsidRDefault="0066140F" w:rsidP="0066140F">
      <w:pPr>
        <w:pStyle w:val="BodyText"/>
        <w:ind w:left="1528" w:right="-60"/>
        <w:jc w:val="both"/>
        <w:rPr>
          <w:rFonts w:cs="Times New Roman"/>
          <w:sz w:val="22"/>
          <w:szCs w:val="22"/>
        </w:rPr>
      </w:pPr>
    </w:p>
    <w:p w14:paraId="491EB762" w14:textId="2C9B72F8" w:rsidR="0066140F" w:rsidRDefault="0066140F" w:rsidP="0066140F">
      <w:pPr>
        <w:pStyle w:val="BodyText"/>
        <w:tabs>
          <w:tab w:val="left" w:pos="823"/>
        </w:tabs>
        <w:ind w:left="0" w:right="104"/>
        <w:jc w:val="both"/>
        <w:rPr>
          <w:rFonts w:cs="Times New Roman"/>
          <w:sz w:val="22"/>
          <w:szCs w:val="22"/>
        </w:rPr>
      </w:pPr>
      <w:r>
        <w:rPr>
          <w:rFonts w:cs="Times New Roman"/>
          <w:sz w:val="22"/>
          <w:szCs w:val="22"/>
        </w:rPr>
        <w:t xml:space="preserve">(2) </w:t>
      </w:r>
      <w:r w:rsidR="001B6528" w:rsidRPr="00F865A8">
        <w:rPr>
          <w:rFonts w:cs="Times New Roman"/>
          <w:sz w:val="22"/>
          <w:szCs w:val="22"/>
        </w:rPr>
        <w:t>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extent in which the law does not contain explicit prohibitions on this matter, to inform as soon as possible SNN about their legal obligation to disclose that Confidential Information and to make the respective disclosure only to the extent necessary.</w:t>
      </w:r>
    </w:p>
    <w:p w14:paraId="62966C0F" w14:textId="77777777" w:rsidR="0066140F" w:rsidRPr="00F865A8" w:rsidRDefault="0066140F" w:rsidP="0066140F">
      <w:pPr>
        <w:pStyle w:val="BodyText"/>
        <w:tabs>
          <w:tab w:val="left" w:pos="823"/>
        </w:tabs>
        <w:ind w:left="0" w:right="104"/>
        <w:jc w:val="both"/>
        <w:rPr>
          <w:rFonts w:cs="Times New Roman"/>
          <w:sz w:val="22"/>
          <w:szCs w:val="22"/>
        </w:rPr>
      </w:pPr>
    </w:p>
    <w:p w14:paraId="2937C91F" w14:textId="2625737D" w:rsidR="00E507FB" w:rsidRPr="00F865A8" w:rsidRDefault="0066140F" w:rsidP="0066140F">
      <w:pPr>
        <w:pStyle w:val="BodyText"/>
        <w:tabs>
          <w:tab w:val="left" w:pos="823"/>
        </w:tabs>
        <w:ind w:left="0" w:right="104"/>
        <w:jc w:val="both"/>
        <w:rPr>
          <w:rFonts w:cs="Times New Roman"/>
          <w:sz w:val="22"/>
          <w:szCs w:val="22"/>
        </w:rPr>
      </w:pPr>
      <w:r>
        <w:rPr>
          <w:rFonts w:cs="Times New Roman"/>
          <w:sz w:val="22"/>
          <w:szCs w:val="22"/>
        </w:rPr>
        <w:t xml:space="preserve">(3) </w:t>
      </w:r>
      <w:r w:rsidR="001B6528" w:rsidRPr="00F865A8">
        <w:rPr>
          <w:rFonts w:cs="Times New Roman"/>
          <w:sz w:val="22"/>
          <w:szCs w:val="22"/>
        </w:rPr>
        <w:t>The Shareholder also acknowledges and confirms to SNN that:</w:t>
      </w:r>
    </w:p>
    <w:p w14:paraId="5C2B7856" w14:textId="77777777" w:rsidR="00E507FB" w:rsidRPr="00F865A8" w:rsidRDefault="001B6528">
      <w:pPr>
        <w:pStyle w:val="BodyText"/>
        <w:numPr>
          <w:ilvl w:val="0"/>
          <w:numId w:val="19"/>
        </w:numPr>
        <w:tabs>
          <w:tab w:val="left" w:pos="823"/>
        </w:tabs>
        <w:ind w:right="104"/>
        <w:jc w:val="both"/>
        <w:rPr>
          <w:rFonts w:cs="Times New Roman"/>
          <w:sz w:val="22"/>
          <w:szCs w:val="22"/>
        </w:rPr>
      </w:pPr>
      <w:r w:rsidRPr="00F865A8">
        <w:rPr>
          <w:rFonts w:cs="Times New Roman"/>
          <w:sz w:val="22"/>
          <w:szCs w:val="22"/>
        </w:rPr>
        <w:t>no Confidential Information made available to the Shareholder or to their Representatives will constitute an offer or an invitation to sell or buy any shares or assets of SNN;</w:t>
      </w:r>
    </w:p>
    <w:p w14:paraId="44BD8674" w14:textId="24C37B7E" w:rsidR="00E507FB" w:rsidRDefault="001B6528" w:rsidP="00F865A8">
      <w:pPr>
        <w:pStyle w:val="BodyText"/>
        <w:numPr>
          <w:ilvl w:val="0"/>
          <w:numId w:val="19"/>
        </w:numPr>
        <w:tabs>
          <w:tab w:val="left" w:pos="823"/>
        </w:tabs>
        <w:ind w:right="104"/>
        <w:jc w:val="both"/>
        <w:rPr>
          <w:rFonts w:cs="Times New Roman"/>
          <w:sz w:val="22"/>
          <w:szCs w:val="22"/>
        </w:rPr>
      </w:pPr>
      <w:r w:rsidRPr="00F865A8">
        <w:rPr>
          <w:rFonts w:cs="Times New Roman"/>
          <w:sz w:val="22"/>
          <w:szCs w:val="22"/>
        </w:rPr>
        <w:t xml:space="preserve">the Shareholder is responsible for performing their own evaluation of the Confidential Information and for making their own decision regarding the vote in </w:t>
      </w:r>
      <w:r w:rsidR="00C91962">
        <w:rPr>
          <w:rFonts w:cs="Times New Roman"/>
          <w:sz w:val="22"/>
          <w:szCs w:val="22"/>
        </w:rPr>
        <w:t>E</w:t>
      </w:r>
      <w:r w:rsidRPr="00F865A8">
        <w:rPr>
          <w:rFonts w:cs="Times New Roman"/>
          <w:sz w:val="22"/>
          <w:szCs w:val="22"/>
        </w:rPr>
        <w:t xml:space="preserve">GMS in </w:t>
      </w:r>
      <w:r w:rsidR="00406D0B" w:rsidRPr="00F865A8">
        <w:rPr>
          <w:rFonts w:cs="Times New Roman"/>
          <w:sz w:val="22"/>
          <w:szCs w:val="22"/>
        </w:rPr>
        <w:t>17.04.2024</w:t>
      </w:r>
      <w:r w:rsidRPr="00F865A8">
        <w:rPr>
          <w:rFonts w:cs="Times New Roman"/>
          <w:sz w:val="22"/>
          <w:szCs w:val="22"/>
        </w:rPr>
        <w:t>.</w:t>
      </w:r>
    </w:p>
    <w:p w14:paraId="214016CB" w14:textId="77777777" w:rsidR="00F865A8" w:rsidRPr="00F865A8" w:rsidRDefault="00F865A8" w:rsidP="00F865A8">
      <w:pPr>
        <w:pStyle w:val="BodyText"/>
        <w:tabs>
          <w:tab w:val="left" w:pos="823"/>
        </w:tabs>
        <w:ind w:left="720" w:right="104"/>
        <w:jc w:val="both"/>
        <w:rPr>
          <w:rFonts w:cs="Times New Roman"/>
          <w:sz w:val="22"/>
          <w:szCs w:val="22"/>
        </w:rPr>
      </w:pPr>
    </w:p>
    <w:p w14:paraId="35DBF046" w14:textId="77777777" w:rsidR="00E507FB" w:rsidRPr="00F865A8" w:rsidRDefault="001B6528" w:rsidP="00741C83">
      <w:pPr>
        <w:pStyle w:val="ListParagraph"/>
        <w:widowControl w:val="0"/>
        <w:numPr>
          <w:ilvl w:val="0"/>
          <w:numId w:val="30"/>
        </w:numPr>
        <w:tabs>
          <w:tab w:val="left" w:pos="540"/>
        </w:tabs>
        <w:spacing w:after="0" w:line="240" w:lineRule="auto"/>
        <w:rPr>
          <w:rFonts w:ascii="Times New Roman" w:eastAsia="Times New Roman" w:hAnsi="Times New Roman" w:cs="Times New Roman"/>
          <w:b/>
        </w:rPr>
      </w:pPr>
      <w:r w:rsidRPr="00F865A8">
        <w:rPr>
          <w:rFonts w:ascii="Times New Roman" w:hAnsi="Times New Roman" w:cs="Times New Roman"/>
          <w:b/>
        </w:rPr>
        <w:t>Liability and compensation</w:t>
      </w:r>
    </w:p>
    <w:p w14:paraId="519D88FE" w14:textId="77777777" w:rsidR="00E507FB" w:rsidRPr="00F865A8" w:rsidRDefault="00E507FB">
      <w:pPr>
        <w:pStyle w:val="BodyText"/>
        <w:tabs>
          <w:tab w:val="left" w:pos="1530"/>
        </w:tabs>
        <w:ind w:left="0" w:right="50"/>
        <w:jc w:val="both"/>
        <w:rPr>
          <w:rFonts w:cs="Times New Roman"/>
          <w:sz w:val="22"/>
          <w:szCs w:val="22"/>
        </w:rPr>
      </w:pPr>
    </w:p>
    <w:p w14:paraId="239D50C4" w14:textId="73160AA7" w:rsidR="00E507FB" w:rsidRDefault="001B6528" w:rsidP="00741C83">
      <w:pPr>
        <w:pStyle w:val="BodyText"/>
        <w:numPr>
          <w:ilvl w:val="1"/>
          <w:numId w:val="30"/>
        </w:numPr>
        <w:tabs>
          <w:tab w:val="left" w:pos="1530"/>
        </w:tabs>
        <w:ind w:right="50"/>
        <w:jc w:val="both"/>
        <w:rPr>
          <w:rFonts w:cs="Times New Roman"/>
          <w:sz w:val="22"/>
          <w:szCs w:val="22"/>
        </w:rPr>
      </w:pPr>
      <w:r w:rsidRPr="00F865A8">
        <w:rPr>
          <w:rFonts w:cs="Times New Roman"/>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14:paraId="2FA39EAE" w14:textId="77777777" w:rsidR="000513E1" w:rsidRPr="00F865A8" w:rsidRDefault="000513E1" w:rsidP="000513E1">
      <w:pPr>
        <w:pStyle w:val="BodyText"/>
        <w:tabs>
          <w:tab w:val="left" w:pos="1530"/>
        </w:tabs>
        <w:ind w:left="1440" w:right="50"/>
        <w:jc w:val="both"/>
        <w:rPr>
          <w:rFonts w:cs="Times New Roman"/>
          <w:sz w:val="22"/>
          <w:szCs w:val="22"/>
        </w:rPr>
      </w:pPr>
    </w:p>
    <w:p w14:paraId="3EEFDA84" w14:textId="22E63742" w:rsidR="00E507FB" w:rsidRDefault="001B6528" w:rsidP="00741C83">
      <w:pPr>
        <w:pStyle w:val="BodyText"/>
        <w:numPr>
          <w:ilvl w:val="1"/>
          <w:numId w:val="30"/>
        </w:numPr>
        <w:tabs>
          <w:tab w:val="left" w:pos="1530"/>
        </w:tabs>
        <w:ind w:right="50"/>
        <w:jc w:val="both"/>
        <w:rPr>
          <w:rFonts w:cs="Times New Roman"/>
          <w:sz w:val="22"/>
          <w:szCs w:val="22"/>
        </w:rPr>
      </w:pPr>
      <w:r w:rsidRPr="00F865A8">
        <w:rPr>
          <w:rFonts w:cs="Times New Roman"/>
          <w:sz w:val="22"/>
          <w:szCs w:val="22"/>
        </w:rPr>
        <w:t xml:space="preserve">In case the Shareholder violates its obligations under this Confidentiality Agreement (including any violation of their Representatives who act on behalf, for or otherwise following the Shareholder’s instructions through act, action or omission), SNN is entitled to a corresponding compensation amounting to EUR </w:t>
      </w:r>
      <w:r w:rsidRPr="00F47E64">
        <w:rPr>
          <w:rFonts w:cs="Times New Roman"/>
          <w:sz w:val="22"/>
          <w:szCs w:val="22"/>
        </w:rPr>
        <w:t>100,000</w:t>
      </w:r>
      <w:r w:rsidRPr="00F865A8">
        <w:rPr>
          <w:rFonts w:cs="Times New Roman"/>
          <w:sz w:val="22"/>
          <w:szCs w:val="22"/>
        </w:rPr>
        <w:t xml:space="preserve"> 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14:paraId="74E29539" w14:textId="77777777" w:rsidR="00EE2EBF" w:rsidRPr="000513E1" w:rsidRDefault="00EE2EBF" w:rsidP="00EE2EBF">
      <w:pPr>
        <w:pStyle w:val="BodyText"/>
        <w:tabs>
          <w:tab w:val="left" w:pos="1530"/>
        </w:tabs>
        <w:ind w:left="0" w:right="50"/>
        <w:jc w:val="both"/>
        <w:rPr>
          <w:rFonts w:cs="Times New Roman"/>
          <w:sz w:val="22"/>
          <w:szCs w:val="22"/>
        </w:rPr>
      </w:pPr>
    </w:p>
    <w:p w14:paraId="129EDEBC" w14:textId="77777777" w:rsidR="00E507FB" w:rsidRPr="00F865A8" w:rsidRDefault="001B6528" w:rsidP="00741C83">
      <w:pPr>
        <w:pStyle w:val="BodyText"/>
        <w:numPr>
          <w:ilvl w:val="0"/>
          <w:numId w:val="30"/>
        </w:numPr>
        <w:tabs>
          <w:tab w:val="left" w:pos="1108"/>
        </w:tabs>
        <w:rPr>
          <w:rFonts w:cs="Times New Roman"/>
          <w:b/>
          <w:sz w:val="22"/>
          <w:szCs w:val="22"/>
        </w:rPr>
      </w:pPr>
      <w:r w:rsidRPr="00F865A8">
        <w:rPr>
          <w:rFonts w:cs="Times New Roman"/>
          <w:b/>
          <w:sz w:val="22"/>
          <w:szCs w:val="22"/>
        </w:rPr>
        <w:t>General aspects</w:t>
      </w:r>
    </w:p>
    <w:p w14:paraId="73D39189" w14:textId="77777777" w:rsidR="00E507FB" w:rsidRPr="00F865A8" w:rsidRDefault="00E507FB">
      <w:pPr>
        <w:pStyle w:val="BodyText"/>
        <w:tabs>
          <w:tab w:val="left" w:pos="1829"/>
        </w:tabs>
        <w:spacing w:before="5"/>
        <w:ind w:left="0" w:right="50"/>
        <w:jc w:val="both"/>
        <w:rPr>
          <w:rFonts w:cs="Times New Roman"/>
          <w:sz w:val="22"/>
          <w:szCs w:val="22"/>
        </w:rPr>
      </w:pPr>
    </w:p>
    <w:p w14:paraId="16831A4D" w14:textId="77777777" w:rsidR="00E507FB" w:rsidRPr="00F865A8" w:rsidRDefault="001B6528" w:rsidP="00741C83">
      <w:pPr>
        <w:pStyle w:val="BodyText"/>
        <w:numPr>
          <w:ilvl w:val="1"/>
          <w:numId w:val="30"/>
        </w:numPr>
        <w:tabs>
          <w:tab w:val="left" w:pos="1829"/>
        </w:tabs>
        <w:spacing w:before="5"/>
        <w:ind w:right="50"/>
        <w:jc w:val="both"/>
        <w:rPr>
          <w:rFonts w:cs="Times New Roman"/>
          <w:sz w:val="22"/>
          <w:szCs w:val="22"/>
        </w:rPr>
      </w:pPr>
      <w:r w:rsidRPr="00F865A8">
        <w:rPr>
          <w:rFonts w:cs="Times New Roman"/>
          <w:sz w:val="22"/>
          <w:szCs w:val="22"/>
        </w:rPr>
        <w:lastRenderedPageBreak/>
        <w:t xml:space="preserve">The Shareholder’s obligations under this Confidentiality Agreement will enter into force on the signature date and will continue to remain in force for </w:t>
      </w:r>
      <w:r w:rsidRPr="00F47E64">
        <w:rPr>
          <w:rFonts w:cs="Times New Roman"/>
          <w:sz w:val="22"/>
          <w:szCs w:val="22"/>
        </w:rPr>
        <w:t>eight (8) years;</w:t>
      </w:r>
      <w:r w:rsidRPr="00F865A8">
        <w:rPr>
          <w:rFonts w:cs="Times New Roman"/>
          <w:sz w:val="22"/>
          <w:szCs w:val="22"/>
        </w:rPr>
        <w:t xml:space="preserve"> </w:t>
      </w:r>
    </w:p>
    <w:p w14:paraId="3E94B43F" w14:textId="77777777" w:rsidR="00E507FB" w:rsidRPr="00F865A8" w:rsidRDefault="001B6528" w:rsidP="00741C83">
      <w:pPr>
        <w:pStyle w:val="BodyText"/>
        <w:numPr>
          <w:ilvl w:val="1"/>
          <w:numId w:val="30"/>
        </w:numPr>
        <w:tabs>
          <w:tab w:val="left" w:pos="1829"/>
        </w:tabs>
        <w:spacing w:before="5"/>
        <w:ind w:right="50"/>
        <w:jc w:val="both"/>
        <w:rPr>
          <w:rFonts w:cs="Times New Roman"/>
          <w:sz w:val="22"/>
          <w:szCs w:val="22"/>
        </w:rPr>
      </w:pPr>
      <w:r w:rsidRPr="00F865A8">
        <w:rPr>
          <w:rFonts w:cs="Times New Roman"/>
          <w:sz w:val="22"/>
          <w:szCs w:val="22"/>
        </w:rPr>
        <w:t xml:space="preserve">This Agreement and any other non-contractual obligations resulting from or in connection with it are governed and </w:t>
      </w:r>
      <w:r w:rsidRPr="00F865A8">
        <w:rPr>
          <w:rFonts w:cs="Times New Roman"/>
          <w:sz w:val="22"/>
          <w:szCs w:val="22"/>
          <w:u w:val="single" w:color="000000"/>
        </w:rPr>
        <w:t>i</w:t>
      </w:r>
      <w:r w:rsidRPr="00F865A8">
        <w:rPr>
          <w:rFonts w:cs="Times New Roman"/>
          <w:sz w:val="22"/>
          <w:szCs w:val="22"/>
        </w:rPr>
        <w:t>nterpreted according to the Romanian law.</w:t>
      </w:r>
    </w:p>
    <w:p w14:paraId="69D3982C" w14:textId="77777777" w:rsidR="00E507FB" w:rsidRPr="00F865A8" w:rsidRDefault="001B6528" w:rsidP="00741C83">
      <w:pPr>
        <w:pStyle w:val="BodyText"/>
        <w:numPr>
          <w:ilvl w:val="1"/>
          <w:numId w:val="30"/>
        </w:numPr>
        <w:tabs>
          <w:tab w:val="left" w:pos="1829"/>
        </w:tabs>
        <w:spacing w:before="5"/>
        <w:ind w:right="50"/>
        <w:jc w:val="both"/>
        <w:rPr>
          <w:rFonts w:cs="Times New Roman"/>
          <w:sz w:val="22"/>
          <w:szCs w:val="22"/>
        </w:rPr>
      </w:pPr>
      <w:r w:rsidRPr="00F865A8">
        <w:rPr>
          <w:rFonts w:cs="Times New Roman"/>
          <w:sz w:val="22"/>
          <w:szCs w:val="22"/>
        </w:rPr>
        <w:t>Any claims or disputes resulting from or in connection with this Agreement that cannot be solved amiably by SNN and the Shareholder (both named as “parties:)within 10 working days as of a dispute notification sent by a party to the other party are settled exclusively and definitively by the competent courts in Bucharest.</w:t>
      </w:r>
    </w:p>
    <w:p w14:paraId="7581AE2B" w14:textId="77777777" w:rsidR="00E507FB" w:rsidRPr="00F865A8" w:rsidRDefault="00E507FB">
      <w:pPr>
        <w:pStyle w:val="BodyText"/>
        <w:tabs>
          <w:tab w:val="left" w:pos="1829"/>
        </w:tabs>
        <w:ind w:left="0" w:right="-40"/>
        <w:jc w:val="both"/>
        <w:rPr>
          <w:rFonts w:cs="Times New Roman"/>
          <w:sz w:val="22"/>
          <w:szCs w:val="22"/>
        </w:rPr>
      </w:pPr>
    </w:p>
    <w:p w14:paraId="0B038DD4" w14:textId="77777777" w:rsidR="00E507FB" w:rsidRPr="00F865A8" w:rsidRDefault="001B6528">
      <w:pPr>
        <w:pStyle w:val="BodyText"/>
        <w:tabs>
          <w:tab w:val="left" w:pos="1829"/>
        </w:tabs>
        <w:ind w:left="0" w:right="-40"/>
        <w:jc w:val="both"/>
        <w:rPr>
          <w:rFonts w:cs="Times New Roman"/>
          <w:sz w:val="22"/>
          <w:szCs w:val="22"/>
        </w:rPr>
      </w:pPr>
      <w:r w:rsidRPr="00F865A8">
        <w:rPr>
          <w:rFonts w:cs="Times New Roman"/>
          <w:sz w:val="22"/>
          <w:szCs w:val="22"/>
        </w:rPr>
        <w:t>Consequently, the signature below confirms the Shareholder’s consent regarding the terms of the Agreement and the Shareholder signs the 2 (two) original copies, one for SNN and one for the Shareholders, on .............</w:t>
      </w:r>
    </w:p>
    <w:p w14:paraId="2264A834" w14:textId="77777777" w:rsidR="00E507FB" w:rsidRPr="00F865A8" w:rsidRDefault="00E507FB">
      <w:pPr>
        <w:spacing w:line="240" w:lineRule="auto"/>
        <w:rPr>
          <w:rFonts w:ascii="Times New Roman" w:eastAsia="Times New Roman" w:hAnsi="Times New Roman" w:cs="Times New Roman"/>
        </w:rPr>
      </w:pPr>
    </w:p>
    <w:p w14:paraId="0A95907C" w14:textId="77777777" w:rsidR="00E507FB" w:rsidRPr="00F865A8" w:rsidRDefault="001B6528">
      <w:pPr>
        <w:pStyle w:val="BodyText"/>
        <w:ind w:left="0" w:right="10"/>
        <w:rPr>
          <w:rFonts w:cs="Times New Roman"/>
          <w:sz w:val="22"/>
          <w:szCs w:val="22"/>
        </w:rPr>
      </w:pPr>
      <w:r w:rsidRPr="00F865A8">
        <w:rPr>
          <w:rFonts w:cs="Times New Roman"/>
          <w:sz w:val="22"/>
          <w:szCs w:val="22"/>
        </w:rPr>
        <w:t>Signatory</w:t>
      </w:r>
    </w:p>
    <w:p w14:paraId="26D4A45D" w14:textId="77777777" w:rsidR="00E507FB" w:rsidRPr="00F865A8" w:rsidRDefault="00E507FB">
      <w:pPr>
        <w:tabs>
          <w:tab w:val="left" w:pos="2728"/>
        </w:tabs>
        <w:spacing w:line="240" w:lineRule="auto"/>
        <w:rPr>
          <w:rFonts w:ascii="Times New Roman" w:hAnsi="Times New Roman" w:cs="Times New Roman"/>
        </w:rPr>
      </w:pPr>
    </w:p>
    <w:p w14:paraId="46B249EB" w14:textId="348C30A8" w:rsidR="00E507FB" w:rsidRPr="00F865A8" w:rsidRDefault="001B6528">
      <w:pPr>
        <w:tabs>
          <w:tab w:val="left" w:pos="2728"/>
        </w:tabs>
        <w:spacing w:line="240" w:lineRule="auto"/>
        <w:rPr>
          <w:rFonts w:ascii="Times New Roman" w:hAnsi="Times New Roman" w:cs="Times New Roman"/>
        </w:rPr>
      </w:pPr>
      <w:r w:rsidRPr="00F865A8">
        <w:rPr>
          <w:rFonts w:ascii="Times New Roman" w:hAnsi="Times New Roman" w:cs="Times New Roman"/>
        </w:rPr>
        <w:t>…………………………………………………………………..</w:t>
      </w:r>
    </w:p>
    <w:p w14:paraId="40CA96CF" w14:textId="77777777" w:rsidR="00E507FB" w:rsidRPr="00F865A8" w:rsidRDefault="001B6528">
      <w:pPr>
        <w:tabs>
          <w:tab w:val="center" w:pos="4930"/>
        </w:tabs>
        <w:spacing w:line="240" w:lineRule="auto"/>
        <w:rPr>
          <w:rFonts w:ascii="Times New Roman" w:hAnsi="Times New Roman" w:cs="Times New Roman"/>
        </w:rPr>
      </w:pPr>
      <w:r w:rsidRPr="00F865A8">
        <w:rPr>
          <w:rFonts w:ascii="Times New Roman" w:hAnsi="Times New Roman" w:cs="Times New Roman"/>
        </w:rPr>
        <w:t>By:</w:t>
      </w:r>
      <w:r w:rsidRPr="00F865A8">
        <w:rPr>
          <w:rFonts w:ascii="Times New Roman" w:hAnsi="Times New Roman" w:cs="Times New Roman"/>
        </w:rPr>
        <w:tab/>
        <w:t>By:</w:t>
      </w:r>
    </w:p>
    <w:p w14:paraId="37086641" w14:textId="77777777" w:rsidR="00E507FB" w:rsidRPr="00F865A8" w:rsidRDefault="001B6528">
      <w:pPr>
        <w:tabs>
          <w:tab w:val="center" w:pos="4930"/>
        </w:tabs>
        <w:spacing w:line="240" w:lineRule="auto"/>
        <w:rPr>
          <w:rFonts w:ascii="Times New Roman" w:hAnsi="Times New Roman" w:cs="Times New Roman"/>
        </w:rPr>
      </w:pPr>
      <w:r w:rsidRPr="00F865A8">
        <w:rPr>
          <w:rFonts w:ascii="Times New Roman" w:hAnsi="Times New Roman" w:cs="Times New Roman"/>
        </w:rPr>
        <w:t>Name:</w:t>
      </w:r>
      <w:r w:rsidRPr="00F865A8">
        <w:rPr>
          <w:rFonts w:ascii="Times New Roman" w:hAnsi="Times New Roman" w:cs="Times New Roman"/>
        </w:rPr>
        <w:tab/>
        <w:t>Name:</w:t>
      </w:r>
    </w:p>
    <w:sectPr w:rsidR="00E507FB" w:rsidRPr="00F865A8">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A1F89" w14:textId="77777777" w:rsidR="00DE4536" w:rsidRDefault="00DE4536">
      <w:pPr>
        <w:spacing w:after="0" w:line="240" w:lineRule="auto"/>
      </w:pPr>
      <w:r>
        <w:separator/>
      </w:r>
    </w:p>
  </w:endnote>
  <w:endnote w:type="continuationSeparator" w:id="0">
    <w:p w14:paraId="13EC2808" w14:textId="77777777" w:rsidR="00DE4536" w:rsidRDefault="00DE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B11F4" w14:textId="77777777" w:rsidR="00DE4536" w:rsidRDefault="00DE4536">
      <w:pPr>
        <w:spacing w:after="0" w:line="240" w:lineRule="auto"/>
      </w:pPr>
      <w:r>
        <w:separator/>
      </w:r>
    </w:p>
  </w:footnote>
  <w:footnote w:type="continuationSeparator" w:id="0">
    <w:p w14:paraId="44CAAA8C" w14:textId="77777777" w:rsidR="00DE4536" w:rsidRDefault="00DE4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F06"/>
    <w:multiLevelType w:val="hybridMultilevel"/>
    <w:tmpl w:val="75F6E61E"/>
    <w:lvl w:ilvl="0" w:tplc="668EF1F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3"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050BE6"/>
    <w:multiLevelType w:val="hybridMultilevel"/>
    <w:tmpl w:val="5AEA5894"/>
    <w:lvl w:ilvl="0" w:tplc="FAC8684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B5545B"/>
    <w:multiLevelType w:val="hybridMultilevel"/>
    <w:tmpl w:val="60E6D58E"/>
    <w:lvl w:ilvl="0" w:tplc="87E4D49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8" w15:restartNumberingAfterBreak="0">
    <w:nsid w:val="1F42699B"/>
    <w:multiLevelType w:val="hybridMultilevel"/>
    <w:tmpl w:val="D1E85446"/>
    <w:lvl w:ilvl="0" w:tplc="56240164">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1" w15:restartNumberingAfterBreak="0">
    <w:nsid w:val="23DA1CC4"/>
    <w:multiLevelType w:val="hybridMultilevel"/>
    <w:tmpl w:val="B05C6674"/>
    <w:lvl w:ilvl="0" w:tplc="53C876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22B7F"/>
    <w:multiLevelType w:val="hybridMultilevel"/>
    <w:tmpl w:val="6B7A8ABA"/>
    <w:lvl w:ilvl="0" w:tplc="CEE23A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14"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15" w15:restartNumberingAfterBreak="0">
    <w:nsid w:val="2C8060C0"/>
    <w:multiLevelType w:val="hybridMultilevel"/>
    <w:tmpl w:val="D44AA900"/>
    <w:lvl w:ilvl="0" w:tplc="DA440292">
      <w:start w:val="2"/>
      <w:numFmt w:val="decimal"/>
      <w:lvlText w:val="(%1)"/>
      <w:lvlJc w:val="left"/>
      <w:pPr>
        <w:ind w:left="855" w:hanging="733"/>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6" w15:restartNumberingAfterBreak="0">
    <w:nsid w:val="34850F94"/>
    <w:multiLevelType w:val="hybridMultilevel"/>
    <w:tmpl w:val="C262CC14"/>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8" w15:restartNumberingAfterBreak="0">
    <w:nsid w:val="39540A01"/>
    <w:multiLevelType w:val="hybridMultilevel"/>
    <w:tmpl w:val="C6180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E5251"/>
    <w:multiLevelType w:val="hybridMultilevel"/>
    <w:tmpl w:val="AA1EAB32"/>
    <w:lvl w:ilvl="0" w:tplc="EACE74F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9FC48F4"/>
    <w:multiLevelType w:val="hybridMultilevel"/>
    <w:tmpl w:val="1F86D340"/>
    <w:lvl w:ilvl="0" w:tplc="63C033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22" w15:restartNumberingAfterBreak="0">
    <w:nsid w:val="3D540B1C"/>
    <w:multiLevelType w:val="hybridMultilevel"/>
    <w:tmpl w:val="8C46E304"/>
    <w:lvl w:ilvl="0" w:tplc="32B6EB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45048"/>
    <w:multiLevelType w:val="hybridMultilevel"/>
    <w:tmpl w:val="4F3AB4D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4" w15:restartNumberingAfterBreak="0">
    <w:nsid w:val="41C614EF"/>
    <w:multiLevelType w:val="hybridMultilevel"/>
    <w:tmpl w:val="E6F4B2B6"/>
    <w:lvl w:ilvl="0" w:tplc="6D1EA3F2">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527825"/>
    <w:multiLevelType w:val="hybridMultilevel"/>
    <w:tmpl w:val="69405D34"/>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194239F4">
      <w:start w:val="3"/>
      <w:numFmt w:val="decimal"/>
      <w:lvlText w:val="%3)"/>
      <w:lvlJc w:val="left"/>
      <w:pPr>
        <w:ind w:left="2340" w:hanging="360"/>
      </w:pPr>
      <w:rPr>
        <w:rFonts w:hint="default"/>
        <w:b/>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27" w15:restartNumberingAfterBreak="0">
    <w:nsid w:val="4FC33504"/>
    <w:multiLevelType w:val="hybridMultilevel"/>
    <w:tmpl w:val="7F22BA44"/>
    <w:lvl w:ilvl="0" w:tplc="F9467C64">
      <w:start w:val="1"/>
      <w:numFmt w:val="lowerLetter"/>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F4DC1"/>
    <w:multiLevelType w:val="hybridMultilevel"/>
    <w:tmpl w:val="5CE0826E"/>
    <w:lvl w:ilvl="0" w:tplc="F224037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D1E3C"/>
    <w:multiLevelType w:val="hybridMultilevel"/>
    <w:tmpl w:val="3D9E2444"/>
    <w:lvl w:ilvl="0" w:tplc="F224037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33" w15:restartNumberingAfterBreak="0">
    <w:nsid w:val="60241762"/>
    <w:multiLevelType w:val="hybridMultilevel"/>
    <w:tmpl w:val="ADCC06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B05229"/>
    <w:multiLevelType w:val="hybridMultilevel"/>
    <w:tmpl w:val="32C89000"/>
    <w:lvl w:ilvl="0" w:tplc="12161536">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6"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B392B"/>
    <w:multiLevelType w:val="hybridMultilevel"/>
    <w:tmpl w:val="CE262CC8"/>
    <w:lvl w:ilvl="0" w:tplc="F224037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1133A"/>
    <w:multiLevelType w:val="hybridMultilevel"/>
    <w:tmpl w:val="66CE8B84"/>
    <w:lvl w:ilvl="0" w:tplc="73424F8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0826CAF"/>
    <w:multiLevelType w:val="hybridMultilevel"/>
    <w:tmpl w:val="C9AA2E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A69EF"/>
    <w:multiLevelType w:val="hybridMultilevel"/>
    <w:tmpl w:val="236C631A"/>
    <w:lvl w:ilvl="0" w:tplc="657EF38C">
      <w:start w:val="1"/>
      <w:numFmt w:val="decimal"/>
      <w:lvlText w:val="%1."/>
      <w:lvlJc w:val="left"/>
      <w:pPr>
        <w:ind w:left="720" w:hanging="360"/>
      </w:pPr>
      <w:rPr>
        <w:b/>
      </w:rPr>
    </w:lvl>
    <w:lvl w:ilvl="1" w:tplc="22C405B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6"/>
  </w:num>
  <w:num w:numId="4">
    <w:abstractNumId w:val="3"/>
  </w:num>
  <w:num w:numId="5">
    <w:abstractNumId w:val="1"/>
  </w:num>
  <w:num w:numId="6">
    <w:abstractNumId w:val="21"/>
  </w:num>
  <w:num w:numId="7">
    <w:abstractNumId w:val="13"/>
  </w:num>
  <w:num w:numId="8">
    <w:abstractNumId w:val="14"/>
  </w:num>
  <w:num w:numId="9">
    <w:abstractNumId w:val="17"/>
  </w:num>
  <w:num w:numId="10">
    <w:abstractNumId w:val="32"/>
  </w:num>
  <w:num w:numId="11">
    <w:abstractNumId w:val="7"/>
  </w:num>
  <w:num w:numId="12">
    <w:abstractNumId w:val="2"/>
  </w:num>
  <w:num w:numId="13">
    <w:abstractNumId w:val="10"/>
  </w:num>
  <w:num w:numId="14">
    <w:abstractNumId w:val="15"/>
  </w:num>
  <w:num w:numId="15">
    <w:abstractNumId w:val="9"/>
  </w:num>
  <w:num w:numId="16">
    <w:abstractNumId w:val="31"/>
  </w:num>
  <w:num w:numId="17">
    <w:abstractNumId w:val="25"/>
  </w:num>
  <w:num w:numId="18">
    <w:abstractNumId w:val="35"/>
  </w:num>
  <w:num w:numId="19">
    <w:abstractNumId w:val="36"/>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22"/>
  </w:num>
  <w:num w:numId="26">
    <w:abstractNumId w:val="5"/>
  </w:num>
  <w:num w:numId="27">
    <w:abstractNumId w:val="38"/>
  </w:num>
  <w:num w:numId="28">
    <w:abstractNumId w:val="33"/>
  </w:num>
  <w:num w:numId="29">
    <w:abstractNumId w:val="16"/>
  </w:num>
  <w:num w:numId="30">
    <w:abstractNumId w:val="39"/>
  </w:num>
  <w:num w:numId="31">
    <w:abstractNumId w:val="34"/>
  </w:num>
  <w:num w:numId="32">
    <w:abstractNumId w:val="11"/>
  </w:num>
  <w:num w:numId="33">
    <w:abstractNumId w:val="18"/>
  </w:num>
  <w:num w:numId="34">
    <w:abstractNumId w:val="24"/>
  </w:num>
  <w:num w:numId="35">
    <w:abstractNumId w:val="28"/>
  </w:num>
  <w:num w:numId="36">
    <w:abstractNumId w:val="29"/>
  </w:num>
  <w:num w:numId="37">
    <w:abstractNumId w:val="27"/>
  </w:num>
  <w:num w:numId="38">
    <w:abstractNumId w:val="12"/>
  </w:num>
  <w:num w:numId="39">
    <w:abstractNumId w:val="8"/>
  </w:num>
  <w:num w:numId="40">
    <w:abstractNumId w:val="4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FB"/>
    <w:rsid w:val="0000360B"/>
    <w:rsid w:val="00005120"/>
    <w:rsid w:val="00042C4D"/>
    <w:rsid w:val="000513E1"/>
    <w:rsid w:val="00052AA3"/>
    <w:rsid w:val="00054D2D"/>
    <w:rsid w:val="00073FF9"/>
    <w:rsid w:val="000A3421"/>
    <w:rsid w:val="000B0EE9"/>
    <w:rsid w:val="000B1C3F"/>
    <w:rsid w:val="000C1D50"/>
    <w:rsid w:val="000E02B8"/>
    <w:rsid w:val="000F4F40"/>
    <w:rsid w:val="000F649B"/>
    <w:rsid w:val="0010154D"/>
    <w:rsid w:val="00125A15"/>
    <w:rsid w:val="00135672"/>
    <w:rsid w:val="00162601"/>
    <w:rsid w:val="001655D8"/>
    <w:rsid w:val="001B45F2"/>
    <w:rsid w:val="001B6528"/>
    <w:rsid w:val="001C162A"/>
    <w:rsid w:val="001C4383"/>
    <w:rsid w:val="001F2DEA"/>
    <w:rsid w:val="00211D1A"/>
    <w:rsid w:val="002253F7"/>
    <w:rsid w:val="00240018"/>
    <w:rsid w:val="00241A8F"/>
    <w:rsid w:val="0025722E"/>
    <w:rsid w:val="00257390"/>
    <w:rsid w:val="002667C0"/>
    <w:rsid w:val="0029448D"/>
    <w:rsid w:val="002A622B"/>
    <w:rsid w:val="002B3E99"/>
    <w:rsid w:val="002C759B"/>
    <w:rsid w:val="002F25E1"/>
    <w:rsid w:val="00307D85"/>
    <w:rsid w:val="003126C8"/>
    <w:rsid w:val="0031413F"/>
    <w:rsid w:val="003205F6"/>
    <w:rsid w:val="00320E2F"/>
    <w:rsid w:val="00323269"/>
    <w:rsid w:val="003309BA"/>
    <w:rsid w:val="00331FD8"/>
    <w:rsid w:val="0037323D"/>
    <w:rsid w:val="00383A1C"/>
    <w:rsid w:val="003C7A32"/>
    <w:rsid w:val="003E53EF"/>
    <w:rsid w:val="003E7ABE"/>
    <w:rsid w:val="003F202E"/>
    <w:rsid w:val="00406D0B"/>
    <w:rsid w:val="00425C46"/>
    <w:rsid w:val="0043340D"/>
    <w:rsid w:val="00433D82"/>
    <w:rsid w:val="00451798"/>
    <w:rsid w:val="004554E6"/>
    <w:rsid w:val="00461448"/>
    <w:rsid w:val="00483CB8"/>
    <w:rsid w:val="00490881"/>
    <w:rsid w:val="004B7D95"/>
    <w:rsid w:val="004E10B3"/>
    <w:rsid w:val="004E120E"/>
    <w:rsid w:val="005249AB"/>
    <w:rsid w:val="005330D4"/>
    <w:rsid w:val="00546867"/>
    <w:rsid w:val="00574025"/>
    <w:rsid w:val="00587697"/>
    <w:rsid w:val="005D20B7"/>
    <w:rsid w:val="005E084A"/>
    <w:rsid w:val="005F2CA7"/>
    <w:rsid w:val="00605CC8"/>
    <w:rsid w:val="00642FA9"/>
    <w:rsid w:val="0066140F"/>
    <w:rsid w:val="006620D2"/>
    <w:rsid w:val="00686144"/>
    <w:rsid w:val="006A6894"/>
    <w:rsid w:val="006B25A0"/>
    <w:rsid w:val="006C2E9E"/>
    <w:rsid w:val="006D3272"/>
    <w:rsid w:val="006D7A21"/>
    <w:rsid w:val="006F0B23"/>
    <w:rsid w:val="006F1182"/>
    <w:rsid w:val="006F20B9"/>
    <w:rsid w:val="00741C83"/>
    <w:rsid w:val="0074520E"/>
    <w:rsid w:val="007711A3"/>
    <w:rsid w:val="007744B6"/>
    <w:rsid w:val="00783F23"/>
    <w:rsid w:val="007A5713"/>
    <w:rsid w:val="007B37AF"/>
    <w:rsid w:val="007B4A82"/>
    <w:rsid w:val="007C077D"/>
    <w:rsid w:val="007D18C5"/>
    <w:rsid w:val="007E2CF1"/>
    <w:rsid w:val="00803789"/>
    <w:rsid w:val="008376FC"/>
    <w:rsid w:val="008510D1"/>
    <w:rsid w:val="00861D90"/>
    <w:rsid w:val="00896C26"/>
    <w:rsid w:val="008F6802"/>
    <w:rsid w:val="009215AD"/>
    <w:rsid w:val="00921686"/>
    <w:rsid w:val="00943D1F"/>
    <w:rsid w:val="00947FB5"/>
    <w:rsid w:val="00965D23"/>
    <w:rsid w:val="00967631"/>
    <w:rsid w:val="009711CB"/>
    <w:rsid w:val="00990BBE"/>
    <w:rsid w:val="00991D41"/>
    <w:rsid w:val="009D07C8"/>
    <w:rsid w:val="009F083A"/>
    <w:rsid w:val="00A81834"/>
    <w:rsid w:val="00AF66FA"/>
    <w:rsid w:val="00AF7866"/>
    <w:rsid w:val="00B127E6"/>
    <w:rsid w:val="00B90878"/>
    <w:rsid w:val="00BC2079"/>
    <w:rsid w:val="00BD3064"/>
    <w:rsid w:val="00BD3724"/>
    <w:rsid w:val="00BD7CF1"/>
    <w:rsid w:val="00BF467F"/>
    <w:rsid w:val="00C12408"/>
    <w:rsid w:val="00C366B7"/>
    <w:rsid w:val="00C40D60"/>
    <w:rsid w:val="00C417EE"/>
    <w:rsid w:val="00C54EE0"/>
    <w:rsid w:val="00C71337"/>
    <w:rsid w:val="00C91962"/>
    <w:rsid w:val="00CB1088"/>
    <w:rsid w:val="00CB121D"/>
    <w:rsid w:val="00CB5BAF"/>
    <w:rsid w:val="00CC22D7"/>
    <w:rsid w:val="00CC689E"/>
    <w:rsid w:val="00CD55DC"/>
    <w:rsid w:val="00CE7B1A"/>
    <w:rsid w:val="00CF6C9C"/>
    <w:rsid w:val="00D06373"/>
    <w:rsid w:val="00D21393"/>
    <w:rsid w:val="00D23926"/>
    <w:rsid w:val="00D30130"/>
    <w:rsid w:val="00D329AF"/>
    <w:rsid w:val="00D446DB"/>
    <w:rsid w:val="00D6109E"/>
    <w:rsid w:val="00D80145"/>
    <w:rsid w:val="00D80A3A"/>
    <w:rsid w:val="00D93328"/>
    <w:rsid w:val="00DD521E"/>
    <w:rsid w:val="00DE4536"/>
    <w:rsid w:val="00E02780"/>
    <w:rsid w:val="00E1657D"/>
    <w:rsid w:val="00E1729E"/>
    <w:rsid w:val="00E23300"/>
    <w:rsid w:val="00E377DB"/>
    <w:rsid w:val="00E43C37"/>
    <w:rsid w:val="00E507FB"/>
    <w:rsid w:val="00E51B72"/>
    <w:rsid w:val="00E53A6C"/>
    <w:rsid w:val="00E6036D"/>
    <w:rsid w:val="00E64EE7"/>
    <w:rsid w:val="00E72C5B"/>
    <w:rsid w:val="00E844CD"/>
    <w:rsid w:val="00EB018C"/>
    <w:rsid w:val="00EB5809"/>
    <w:rsid w:val="00EE2EBF"/>
    <w:rsid w:val="00F47BC5"/>
    <w:rsid w:val="00F47E64"/>
    <w:rsid w:val="00F51660"/>
    <w:rsid w:val="00F57C89"/>
    <w:rsid w:val="00F71430"/>
    <w:rsid w:val="00F737AE"/>
    <w:rsid w:val="00F74E7E"/>
    <w:rsid w:val="00F865A8"/>
    <w:rsid w:val="00FA16A7"/>
    <w:rsid w:val="00FD3166"/>
    <w:rsid w:val="00FF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EABAB"/>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Normal2,List Paragraph1,Liste 1"/>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rPr>
      <w:rFonts w:ascii="Times New Roman" w:eastAsia="Times New Roman" w:hAnsi="Times New Roman"/>
      <w:sz w:val="24"/>
      <w:szCs w:val="24"/>
    </w:rPr>
  </w:style>
  <w:style w:type="paragraph" w:styleId="BodyText">
    <w:name w:val="Body Text"/>
    <w:basedOn w:val="Normal"/>
    <w:link w:val="BodyTextChar"/>
    <w:uiPriority w:val="1"/>
    <w:qFormat/>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Pr>
      <w:rFonts w:ascii="Times New Roman" w:eastAsia="Times New Roman" w:hAnsi="Times New Roman"/>
      <w:sz w:val="23"/>
      <w:szCs w:val="23"/>
    </w:rPr>
  </w:style>
  <w:style w:type="paragraph" w:customStyle="1" w:styleId="TableParagraph">
    <w:name w:val="Table Paragraph"/>
    <w:basedOn w:val="Normal"/>
    <w:uiPriority w:val="1"/>
    <w:qFormat/>
    <w:pPr>
      <w:widowControl w:val="0"/>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Default">
    <w:name w:val="Default"/>
    <w:rsid w:val="008F68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Normal2 Char,List Paragraph1 Char,Liste 1 Char"/>
    <w:link w:val="ListParagraph"/>
    <w:uiPriority w:val="1"/>
    <w:locked/>
    <w:rsid w:val="00A8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8421">
      <w:bodyDiv w:val="1"/>
      <w:marLeft w:val="0"/>
      <w:marRight w:val="0"/>
      <w:marTop w:val="0"/>
      <w:marBottom w:val="0"/>
      <w:divBdr>
        <w:top w:val="none" w:sz="0" w:space="0" w:color="auto"/>
        <w:left w:val="none" w:sz="0" w:space="0" w:color="auto"/>
        <w:bottom w:val="none" w:sz="0" w:space="0" w:color="auto"/>
        <w:right w:val="none" w:sz="0" w:space="0" w:color="auto"/>
      </w:divBdr>
    </w:div>
    <w:div w:id="261839230">
      <w:bodyDiv w:val="1"/>
      <w:marLeft w:val="0"/>
      <w:marRight w:val="0"/>
      <w:marTop w:val="0"/>
      <w:marBottom w:val="0"/>
      <w:divBdr>
        <w:top w:val="none" w:sz="0" w:space="0" w:color="auto"/>
        <w:left w:val="none" w:sz="0" w:space="0" w:color="auto"/>
        <w:bottom w:val="none" w:sz="0" w:space="0" w:color="auto"/>
        <w:right w:val="none" w:sz="0" w:space="0" w:color="auto"/>
      </w:divBdr>
    </w:div>
    <w:div w:id="1056011044">
      <w:bodyDiv w:val="1"/>
      <w:marLeft w:val="0"/>
      <w:marRight w:val="0"/>
      <w:marTop w:val="0"/>
      <w:marBottom w:val="0"/>
      <w:divBdr>
        <w:top w:val="none" w:sz="0" w:space="0" w:color="auto"/>
        <w:left w:val="none" w:sz="0" w:space="0" w:color="auto"/>
        <w:bottom w:val="none" w:sz="0" w:space="0" w:color="auto"/>
        <w:right w:val="none" w:sz="0" w:space="0" w:color="auto"/>
      </w:divBdr>
    </w:div>
    <w:div w:id="20004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8DA69-9B1B-4EC2-B1B0-C1D39D16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9</Pages>
  <Words>4561</Words>
  <Characters>25998</Characters>
  <Application>Microsoft Office Word</Application>
  <DocSecurity>0</DocSecurity>
  <Lines>216</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SRV-SCCM</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Valentina Dinu</cp:lastModifiedBy>
  <cp:revision>157</cp:revision>
  <dcterms:created xsi:type="dcterms:W3CDTF">2023-10-25T06:28:00Z</dcterms:created>
  <dcterms:modified xsi:type="dcterms:W3CDTF">2024-04-04T13:57:00Z</dcterms:modified>
</cp:coreProperties>
</file>